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89"/>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p>
    <w:p>
      <w:pPr>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项目名称：老旧小区物业管理市场化服务</w:t>
      </w:r>
      <w:r>
        <w:rPr>
          <w:rFonts w:hint="eastAsia" w:ascii="Arial" w:hAnsi="Arial" w:eastAsia="宋体" w:cs="Times New Roman"/>
          <w:b/>
          <w:bCs/>
          <w:color w:val="000000"/>
          <w:sz w:val="32"/>
          <w:szCs w:val="24"/>
          <w:highlight w:val="none"/>
          <w:lang w:val="en-US" w:eastAsia="zh-CN"/>
        </w:rPr>
        <w:t xml:space="preserve"> </w:t>
      </w:r>
      <w:r/>
    </w:p>
    <w:p>
      <w:pPr>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bookmarkStart w:id="0" w:name="OLE_LINK3"/>
      <w:r>
        <w:rPr>
          <w:rFonts w:hint="eastAsia" w:ascii="Arial" w:hAnsi="Arial" w:eastAsia="宋体" w:cs="Times New Roman"/>
          <w:b/>
          <w:bCs/>
          <w:color w:val="000000"/>
          <w:sz w:val="32"/>
          <w:szCs w:val="24"/>
          <w:highlight w:val="none"/>
          <w:lang w:eastAsia="zh-CN"/>
        </w:rPr>
        <w:t xml:space="preserve">JSZC-320116-JZCG-C2026-0001</w:t>
      </w:r>
      <w:r>
        <w:rPr>
          <w:rFonts w:hint="eastAsia" w:ascii="Arial" w:hAnsi="Arial" w:cs="Times New Roman"/>
          <w:b/>
          <w:bCs/>
          <w:color w:val="000000"/>
          <w:sz w:val="32"/>
          <w:szCs w:val="24"/>
          <w:highlight w:val="none"/>
          <w:lang w:val="en-US" w:eastAsia="zh-CN"/>
        </w:rPr>
        <w:t xml:space="preserve"> </w:t>
      </w:r>
      <w:bookmarkEnd w:id="0"/>
      <w:r/>
      <w:r/>
    </w:p>
    <w:p>
      <w:pPr>
        <w:jc w:val="center"/>
        <w:spacing w:line="360" w:lineRule="auto"/>
        <w:rPr>
          <w:rFonts w:hint="eastAsia" w:ascii="宋体" w:hAnsi="宋体"/>
          <w:color w:val="000000"/>
          <w:sz w:val="24"/>
          <w:szCs w:val="24"/>
          <w:highlight w:val="none"/>
        </w:rPr>
      </w:pP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val="en-US" w:eastAsia="zh-CN"/>
        </w:rPr>
        <w:t xml:space="preserve">服务类，</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9"/>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r>
      <w:r/>
    </w:p>
    <w:p>
      <w:pPr>
        <w:pStyle w:val="989"/>
        <w:ind w:firstLine="0"/>
        <w:jc w:val="center"/>
        <w:rPr>
          <w:rFonts w:ascii="Arial" w:hAnsi="Arial" w:eastAsia="宋体" w:cs="Times New Roman"/>
          <w:b/>
          <w:bCs/>
          <w:color w:val="000000"/>
          <w:sz w:val="32"/>
          <w:highlight w:val="none"/>
          <w:lang w:val="en-US"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val="en-US" w:eastAsia="zh-CN"/>
        </w:rPr>
        <w:t xml:space="preserve">六合分中心</w:t>
      </w:r>
      <w:r/>
    </w:p>
    <w:p>
      <w:pPr>
        <w:pStyle w:val="989"/>
        <w:ind w:firstLine="0"/>
        <w:jc w:val="center"/>
        <w:rPr>
          <w:rFonts w:hint="eastAsia" w:ascii="宋体" w:hAnsi="宋体" w:eastAsia="宋体" w:cs="宋体"/>
          <w:b/>
          <w:bCs/>
          <w:color w:val="000000"/>
          <w:sz w:val="32"/>
          <w:highlight w:val="none"/>
          <w:lang w:val="en-US"/>
        </w:rPr>
      </w:pPr>
      <w:r>
        <w:rPr>
          <w:rFonts w:hint="eastAsia" w:ascii="Times New Roman" w:hAnsi="Times New Roman" w:cs="Times New Roman"/>
          <w:b/>
          <w:bCs w:val="0"/>
          <w:color w:val="000000"/>
          <w:sz w:val="32"/>
          <w:szCs w:val="32"/>
          <w:highlight w:val="none"/>
          <w:u w:val="single"/>
          <w:lang w:val="en-US" w:eastAsia="zh-CN" w:bidi="ar-SA"/>
        </w:rPr>
        <w:t xml:space="preserve">2026</w:t>
      </w:r>
      <w:r>
        <w:rPr>
          <w:rFonts w:hint="eastAsia" w:ascii="宋体" w:hAnsi="宋体" w:eastAsia="宋体" w:cs="宋体"/>
          <w:b/>
          <w:bCs/>
          <w:color w:val="000000"/>
          <w:sz w:val="32"/>
          <w:highlight w:val="none"/>
          <w:lang w:eastAsia="zh-CN"/>
        </w:rPr>
        <w:t xml:space="preserve">年</w:t>
      </w:r>
      <w:r>
        <w:rPr>
          <w:rFonts w:hint="eastAsia" w:ascii="Times New Roman" w:hAnsi="Times New Roman" w:cs="Times New Roman"/>
          <w:b/>
          <w:bCs w:val="0"/>
          <w:color w:val="000000"/>
          <w:sz w:val="32"/>
          <w:szCs w:val="32"/>
          <w:highlight w:val="none"/>
          <w:u w:val="single"/>
          <w:lang w:val="en-US" w:eastAsia="zh-CN" w:bidi="ar-SA"/>
        </w:rPr>
        <w:t xml:space="preserve">1</w:t>
      </w:r>
      <w:r>
        <w:rPr>
          <w:rFonts w:hint="eastAsia" w:ascii="宋体" w:hAnsi="宋体" w:eastAsia="宋体" w:cs="宋体"/>
          <w:b/>
          <w:bCs/>
          <w:color w:val="000000"/>
          <w:sz w:val="32"/>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both"/>
        <w:spacing w:line="480" w:lineRule="exact"/>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1" w:name="_Toc120614210"/>
      <w:r/>
      <w:bookmarkStart w:id="2" w:name="_Toc513029200"/>
      <w:r/>
      <w:bookmarkStart w:id="3" w:name="_Toc523127445"/>
      <w:r/>
      <w:bookmarkStart w:id="4" w:name="_Toc479757206"/>
      <w:r/>
      <w:bookmarkStart w:id="5" w:name="_Toc20823272"/>
      <w:r/>
      <w:bookmarkStart w:id="6" w:name="_Toc16938516"/>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磋商邀请</w:t>
      </w:r>
      <w:r/>
    </w:p>
    <w:p>
      <w:pPr>
        <w:numPr>
          <w:ilvl w:val="0"/>
          <w:numId w:val="4"/>
        </w:numP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供应商须知</w:t>
      </w:r>
      <w:r/>
    </w:p>
    <w:p>
      <w:pPr>
        <w:numPr>
          <w:ilvl w:val="0"/>
          <w:numId w:val="4"/>
        </w:numP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p>
    <w:p>
      <w:pPr>
        <w:numPr>
          <w:ilvl w:val="0"/>
          <w:numId w:val="4"/>
        </w:numP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p>
    <w:p>
      <w:pPr>
        <w:numPr>
          <w:ilvl w:val="0"/>
          <w:numId w:val="4"/>
        </w:numP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评审方法与评审标准</w:t>
      </w:r>
      <w:r/>
    </w:p>
    <w:p>
      <w:pPr>
        <w:numPr>
          <w:ilvl w:val="0"/>
          <w:numId w:val="4"/>
        </w:numP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响应文件格式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right="840"/>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1"/>
      <w:r>
        <w:rPr>
          <w:rFonts w:hint="eastAsia" w:ascii="方正小标宋简体" w:hAnsi="方正小标宋简体" w:eastAsia="方正小标宋简体" w:cs="方正小标宋简体"/>
          <w:color w:val="000000"/>
          <w:sz w:val="36"/>
          <w:szCs w:val="36"/>
          <w:highlight w:val="none"/>
          <w:lang w:val="en-US"/>
        </w:rPr>
        <w:t xml:space="preserve">磋商邀请</w:t>
      </w:r>
      <w:r/>
    </w:p>
    <w:p>
      <w:pPr>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pageBreakBefore w:val="0"/>
        <w:spacing w:line="264" w:lineRule="auto"/>
        <w:widowControl w:val="off"/>
        <w:rPr>
          <w:rFonts w:hint="eastAsia" w:ascii="宋体" w:hAnsi="宋体"/>
          <w:color w:val="000000"/>
          <w:sz w:val="24"/>
          <w:szCs w:val="24"/>
          <w:highlight w:val="none"/>
          <w:u w:val="none"/>
          <w:lang w:val="en-US" w:eastAsia="zh-CN"/>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南京市六合区人民政府雄州街道办事处</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采购</w:t>
      </w:r>
      <w:r>
        <w:rPr>
          <w:rFonts w:hint="eastAsia" w:ascii="宋体" w:hAnsi="宋体"/>
          <w:color w:val="000000"/>
          <w:sz w:val="24"/>
          <w:szCs w:val="24"/>
          <w:highlight w:val="none"/>
          <w:u w:val="none"/>
        </w:rPr>
        <w:t xml:space="preserve">单位</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u w:val="none"/>
          <w:lang w:val="en-US" w:eastAsia="zh-CN"/>
        </w:rPr>
        <w:t xml:space="preserve">六合分中心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lang w:val="en-US" w:eastAsia="zh-CN"/>
        </w:rPr>
        <w:t xml:space="preserve">就老旧小区物业管理市场化服务</w:t>
      </w:r>
      <w:r>
        <w:rPr>
          <w:rFonts w:hint="eastAsia" w:ascii="宋体" w:hAnsi="宋体"/>
          <w:color w:val="000000"/>
          <w:sz w:val="24"/>
          <w:szCs w:val="24"/>
          <w:highlight w:val="none"/>
          <w:u w:val="none"/>
          <w:lang w:val="en-US" w:eastAsia="zh-CN"/>
        </w:rPr>
        <w:t xml:space="preserve">（项目名称</w:t>
      </w:r>
      <w:r>
        <w:rPr>
          <w:rFonts w:hint="eastAsia" w:ascii="宋体" w:hAnsi="宋体"/>
          <w:color w:val="000000"/>
          <w:sz w:val="24"/>
          <w:szCs w:val="24"/>
          <w:highlight w:val="none"/>
          <w:u w:val="none"/>
          <w:lang w:val="en-US" w:eastAsia="zh-CN"/>
        </w:rPr>
        <w:t xml:space="preserve">）项目进行竞争性磋商采购，欢迎符合条件的供应商参加磋商。</w:t>
      </w:r>
      <w:r/>
    </w:p>
    <w:p>
      <w:pPr>
        <w:pStyle w:val="90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7" w:name="_Toc35393621"/>
      <w:r/>
      <w:bookmarkStart w:id="8" w:name="_Toc38985263"/>
      <w:r/>
      <w:bookmarkStart w:id="9" w:name="_Toc28359002"/>
      <w:r/>
      <w:bookmarkStart w:id="10" w:name="_Toc35393790"/>
      <w:r/>
      <w:bookmarkStart w:id="11" w:name="_Toc28359079"/>
      <w:r/>
      <w:bookmarkStart w:id="12"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7"/>
      <w:r/>
      <w:bookmarkEnd w:id="8"/>
      <w:r/>
      <w:bookmarkEnd w:id="9"/>
      <w:r/>
      <w:bookmarkEnd w:id="10"/>
      <w:r/>
      <w:bookmarkEnd w:id="11"/>
      <w:r/>
      <w:bookmarkEnd w:id="12"/>
      <w:r/>
      <w:r/>
    </w:p>
    <w:p>
      <w:pPr>
        <w:ind w:firstLine="480"/>
        <w:pageBreakBefore w:val="0"/>
        <w:spacing w:line="264" w:lineRule="auto"/>
        <w:widowControl w:val="off"/>
        <w:rPr>
          <w:rFonts w:hint="eastAsia" w:ascii="宋体" w:hAnsi="宋体"/>
          <w:color w:val="000000"/>
          <w:sz w:val="24"/>
          <w:szCs w:val="24"/>
          <w:highlight w:val="none"/>
          <w:lang w:val="en-US" w:eastAsia="zh-CN"/>
        </w:rPr>
      </w:pPr>
      <w:r/>
      <w:bookmarkStart w:id="13" w:name="_Toc28359080"/>
      <w:r/>
      <w:bookmarkStart w:id="14" w:name="_Toc38985264"/>
      <w:r/>
      <w:bookmarkStart w:id="15" w:name="_Toc35393622"/>
      <w:r/>
      <w:bookmarkStart w:id="16" w:name="_Toc35393791"/>
      <w:r/>
      <w:bookmarkStart w:id="17" w:name="_Toc28359003"/>
      <w:r>
        <w:rPr>
          <w:rFonts w:hint="eastAsia" w:ascii="宋体" w:hAnsi="宋体"/>
          <w:color w:val="000000"/>
          <w:sz w:val="24"/>
          <w:szCs w:val="24"/>
          <w:highlight w:val="none"/>
          <w:lang w:val="en-US" w:eastAsia="zh-CN"/>
        </w:rPr>
        <w:t xml:space="preserve">1.项目编号：JSZC-320116-JZCG-C2026-0001</w:t>
      </w:r>
      <w:r/>
    </w:p>
    <w:p>
      <w:pPr>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2.项目名称：老旧小区物业管理市场化服务</w:t>
      </w:r>
      <w:r/>
    </w:p>
    <w:p>
      <w:pPr>
        <w:ind w:firstLine="480"/>
        <w:pageBreakBefore w:val="0"/>
        <w:spacing w:line="264"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3.预算金额：3</w:t>
      </w:r>
      <w:r>
        <w:rPr>
          <w:rFonts w:hint="eastAsia" w:ascii="宋体" w:hAnsi="宋体"/>
          <w:color w:val="000000"/>
          <w:sz w:val="24"/>
          <w:szCs w:val="24"/>
          <w:highlight w:val="none"/>
          <w:lang w:val="en-US" w:eastAsia="zh-CN"/>
        </w:rPr>
        <w:t xml:space="preserve">29万元，采购包1：172万元；采购包2：157万元</w:t>
      </w:r>
      <w:r/>
    </w:p>
    <w:p>
      <w:pPr>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采购包1：172万元；采购包2：157万元。</w:t>
      </w:r>
      <w:r/>
    </w:p>
    <w:p>
      <w:pPr>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5.采购需求（简介）：本项目有</w:t>
      </w:r>
      <w:r>
        <w:rPr>
          <w:rFonts w:hint="eastAsia" w:ascii="宋体" w:hAnsi="宋体"/>
          <w:color w:val="000000"/>
          <w:sz w:val="24"/>
          <w:szCs w:val="24"/>
          <w:highlight w:val="none"/>
          <w:lang w:val="en-US"/>
        </w:rPr>
        <w:t xml:space="preserve">2</w:t>
      </w:r>
      <w:r>
        <w:rPr>
          <w:rFonts w:hint="eastAsia" w:ascii="宋体" w:hAnsi="宋体"/>
          <w:color w:val="000000"/>
          <w:sz w:val="24"/>
          <w:szCs w:val="24"/>
          <w:highlight w:val="none"/>
        </w:rPr>
        <w:t xml:space="preserve">个采购包，具体如下：</w:t>
      </w:r>
      <w:r/>
    </w:p>
    <w:p>
      <w:pPr>
        <w:ind w:firstLine="480"/>
        <w:pageBreakBefore w:val="0"/>
        <w:spacing w:line="264"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采购包1：雄州街道方州社区和凤凰社区部分老旧小区物业管理和垃圾分类。</w:t>
      </w:r>
      <w:r/>
    </w:p>
    <w:p>
      <w:pPr>
        <w:ind w:firstLine="480"/>
        <w:pageBreakBefore w:val="0"/>
        <w:spacing w:line="264"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采购包2：雄州街道龙津社区、泰山社区和紫霞社区部分老旧小区物业管理和垃圾分类。</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w:t>
      </w:r>
      <w:r/>
    </w:p>
    <w:p>
      <w:pPr>
        <w:ind w:firstLine="482"/>
        <w:pageBreakBefore w:val="0"/>
        <w:spacing w:line="264" w:lineRule="auto"/>
        <w:widowControl w:val="off"/>
        <w:rPr>
          <w:rFonts w:ascii="宋体" w:hAnsi="宋体"/>
          <w:color w:val="000000"/>
          <w:sz w:val="24"/>
          <w:szCs w:val="24"/>
          <w:highlight w:val="none"/>
          <w:u w:val="single"/>
        </w:rPr>
      </w:pPr>
      <w:r>
        <w:rPr>
          <w:rFonts w:hint="eastAsia" w:ascii="宋体" w:hAnsi="宋体"/>
          <w:color w:val="auto"/>
          <w:sz w:val="24"/>
          <w:szCs w:val="24"/>
          <w:highlight w:val="none"/>
          <w:lang w:val="en-US" w:eastAsia="zh-CN"/>
        </w:rPr>
        <w:t xml:space="preserve">本项目评审顺序依次为采购包1、采购包2。供应商可参</w:t>
      </w:r>
      <w:r>
        <w:rPr>
          <w:rFonts w:hint="eastAsia" w:ascii="宋体" w:hAnsi="宋体"/>
          <w:color w:val="auto"/>
          <w:sz w:val="24"/>
          <w:szCs w:val="24"/>
          <w:lang w:val="en-US" w:eastAsia="zh-CN"/>
        </w:rPr>
        <w:t xml:space="preserve">与一个或多个采购包。在前一个采购包中被推荐为第一成交候选人的供应商，可继续参加后续采购包的评审，但在后续采购包中不能被推荐为成交候选人。</w:t>
      </w:r>
      <w:r>
        <w:rPr>
          <w:rFonts w:hint="eastAsia" w:ascii="宋体" w:hAnsi="宋体" w:cs="宋体"/>
          <w:color w:val="000000"/>
          <w:sz w:val="24"/>
          <w:szCs w:val="24"/>
          <w:highlight w:val="none"/>
        </w:rPr>
        <w:t xml:space="preserve"> </w:t>
      </w:r>
      <w:r/>
    </w:p>
    <w:p>
      <w:pPr>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6.合同履行期限：自合同签订之日起为期一年。</w:t>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联合体磋商。</w:t>
      </w:r>
      <w:r/>
    </w:p>
    <w:p>
      <w:pPr>
        <w:pStyle w:val="90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3"/>
      <w:r/>
      <w:bookmarkEnd w:id="14"/>
      <w:r/>
      <w:bookmarkEnd w:id="15"/>
      <w:r/>
      <w:bookmarkEnd w:id="16"/>
      <w:r/>
      <w:bookmarkEnd w:id="17"/>
      <w:r/>
      <w:r/>
    </w:p>
    <w:p>
      <w:pPr>
        <w:ind w:firstLine="480"/>
        <w:pageBreakBefore w:val="0"/>
        <w:spacing w:line="264" w:lineRule="auto"/>
        <w:widowControl w:val="off"/>
        <w:rPr>
          <w:rFonts w:hint="eastAsia" w:ascii="宋体" w:hAnsi="宋体"/>
          <w:color w:val="000000"/>
          <w:sz w:val="24"/>
          <w:szCs w:val="24"/>
          <w:highlight w:val="none"/>
        </w:rPr>
      </w:pPr>
      <w:r/>
      <w:bookmarkStart w:id="18" w:name="_Toc35393792"/>
      <w:r/>
      <w:bookmarkStart w:id="19" w:name="_Toc35393623"/>
      <w:r/>
      <w:bookmarkStart w:id="20" w:name="_Toc38985265"/>
      <w:r/>
      <w:bookmarkStart w:id="21" w:name="_Toc28359081"/>
      <w:r/>
      <w:bookmarkStart w:id="22"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64" w:lineRule="auto"/>
        <w:widowControl w:val="off"/>
        <w:rPr>
          <w:rFonts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zh-CN"/>
        </w:rPr>
        <w:t xml:space="preserve">落实政府采购政策需满足的资格要求：</w:t>
      </w:r>
      <w:r>
        <w:rPr>
          <w:rFonts w:ascii="Times New Roman" w:hAnsi="Times New Roman" w:eastAsia="宋体" w:cs="Times New Roman"/>
          <w:color w:val="000000"/>
          <w:sz w:val="24"/>
          <w:szCs w:val="24"/>
          <w:highlight w:val="none"/>
          <w:lang w:val="zh-CN" w:eastAsia="zh-CN"/>
        </w:rPr>
        <w:t xml:space="preserve">本项目专门面向中小微企业采购，供应商应为中小微企业、监狱企业、残疾人福利性单位。（声明函格式见第六章）</w:t>
      </w:r>
      <w:r/>
    </w:p>
    <w:p>
      <w:pPr>
        <w:ind w:firstLine="480"/>
        <w:pageBreakBefore w:val="0"/>
        <w:spacing w:line="264"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项目采购标的对应的中小企业划分标准所属行业为：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    （二）本项目的特定资格要求</w:t>
      </w:r>
      <w:r>
        <w:rPr>
          <w:rFonts w:hint="eastAsia" w:ascii="宋体" w:hAnsi="宋体"/>
          <w:color w:val="000000"/>
          <w:sz w:val="24"/>
          <w:szCs w:val="24"/>
          <w:highlight w:val="none"/>
          <w:lang w:eastAsia="zh-CN"/>
        </w:rPr>
        <w:t xml:space="preserve">：</w:t>
      </w:r>
      <w:r>
        <w:rPr>
          <w:rFonts w:ascii="宋体" w:hAnsi="宋体" w:eastAsia="宋体" w:cs="宋体"/>
          <w:color w:val="000000"/>
          <w:sz w:val="24"/>
        </w:rPr>
        <w:t xml:space="preserve">供应商提供南京市公安局出具的自行招用保安员单位备案证明，或自开展保安服务之日起30个工作日内向南京市公安局备案承诺书。（格式自拟）</w:t>
      </w:r>
      <w:r/>
    </w:p>
    <w:p>
      <w:pPr>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p>
    <w:p>
      <w:pPr>
        <w:pStyle w:val="90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t xml:space="preserve">磋商文件</w:t>
      </w:r>
      <w:r/>
    </w:p>
    <w:p>
      <w:pPr>
        <w:ind w:firstLine="480"/>
        <w:pageBreakBefore w:val="0"/>
        <w:spacing w:line="264" w:lineRule="auto"/>
        <w:widowControl w:val="off"/>
        <w:rPr>
          <w:rFonts w:hint="eastAsia" w:ascii="宋体" w:hAnsi="宋体" w:eastAsia="宋体" w:cs="宋体"/>
          <w:color w:val="000000"/>
          <w:sz w:val="24"/>
          <w:szCs w:val="24"/>
          <w:highlight w:val="none"/>
        </w:rPr>
      </w:pPr>
      <w:r/>
      <w:bookmarkStart w:id="23" w:name="_Toc28359082"/>
      <w:r/>
      <w:bookmarkStart w:id="24" w:name="_Toc28359005"/>
      <w:r/>
      <w:bookmarkStart w:id="25" w:name="_Toc38985266"/>
      <w:r/>
      <w:bookmarkStart w:id="26" w:name="_Toc35393624"/>
      <w:r/>
      <w:bookmarkStart w:id="27" w:name="_Toc35393793"/>
      <w:r>
        <w:rPr>
          <w:rFonts w:hint="eastAsia" w:ascii="宋体" w:hAnsi="宋体" w:eastAsia="宋体" w:cs="宋体"/>
          <w:color w:val="000000"/>
          <w:sz w:val="24"/>
          <w:szCs w:val="24"/>
          <w:highlight w:val="none"/>
        </w:rPr>
        <w:t xml:space="preserve">1.时间：自磋商文件公告发布之日起。</w:t>
      </w:r>
      <w:r/>
    </w:p>
    <w:p>
      <w:pPr>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p>
    <w:p>
      <w:pPr>
        <w:pStyle w:val="90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3"/>
      <w:r/>
      <w:bookmarkEnd w:id="24"/>
      <w:r>
        <w:rPr>
          <w:rFonts w:hint="eastAsia" w:ascii="方正黑体_GBK" w:hAnsi="方正黑体_GBK" w:eastAsia="方正黑体_GBK" w:cs="方正黑体_GBK"/>
          <w:b w:val="0"/>
          <w:bCs w:val="0"/>
          <w:color w:val="000000"/>
          <w:sz w:val="30"/>
          <w:szCs w:val="30"/>
          <w:highlight w:val="none"/>
        </w:rPr>
        <w:t xml:space="preserve">响应文件截止时间</w:t>
      </w:r>
      <w:bookmarkEnd w:id="25"/>
      <w:r/>
      <w:bookmarkEnd w:id="26"/>
      <w:r/>
      <w:bookmarkEnd w:id="27"/>
      <w:r/>
      <w:r/>
    </w:p>
    <w:p>
      <w:pPr>
        <w:pStyle w:val="906"/>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pPr>
      <w:r/>
      <w:bookmarkStart w:id="28" w:name="_Toc35393794"/>
      <w:r/>
      <w:bookmarkStart w:id="29" w:name="_Toc35393625"/>
      <w:r/>
      <w:bookmarkStart w:id="30" w:name="_Toc28359007"/>
      <w:r/>
      <w:bookmarkStart w:id="31" w:name="_Toc28359084"/>
      <w:r/>
      <w:bookmarkStart w:id="32" w:name="_Toc38985267"/>
      <w:r>
        <w:rPr>
          <w:rFonts w:hint="eastAsia" w:ascii="宋体" w:hAnsi="宋体" w:cs="宋体"/>
          <w:b w:val="0"/>
          <w:bCs w:val="0"/>
          <w:color w:val="000000"/>
          <w:sz w:val="24"/>
          <w:szCs w:val="24"/>
          <w:highlight w:val="none"/>
          <w:u w:val="none"/>
          <w:lang w:val="en-US" w:eastAsia="zh-CN"/>
        </w:rPr>
        <w:t xml:space="preserve">  2026</w:t>
      </w:r>
      <w:r>
        <w:rPr>
          <w:rFonts w:hint="eastAsia" w:ascii="宋体" w:hAnsi="宋体"/>
          <w:b w:val="0"/>
          <w:bCs w:val="0"/>
          <w:color w:val="000000"/>
          <w:sz w:val="24"/>
          <w:szCs w:val="24"/>
          <w:highlight w:val="none"/>
          <w:u w:val="none"/>
        </w:rPr>
        <w:t xml:space="preserve">年</w:t>
      </w:r>
      <w:r>
        <w:rPr>
          <w:rFonts w:hint="eastAsia" w:ascii="宋体" w:hAnsi="宋体" w:cs="宋体"/>
          <w:b w:val="0"/>
          <w:bCs w:val="0"/>
          <w:color w:val="000000"/>
          <w:sz w:val="24"/>
          <w:szCs w:val="24"/>
          <w:highlight w:val="none"/>
          <w:u w:val="none"/>
          <w:lang w:val="en-US" w:eastAsia="zh-CN"/>
        </w:rPr>
        <w:t xml:space="preserve"> 1</w:t>
      </w:r>
      <w:r>
        <w:rPr>
          <w:rFonts w:hint="eastAsia" w:ascii="宋体" w:hAnsi="宋体"/>
          <w:b w:val="0"/>
          <w:bCs w:val="0"/>
          <w:color w:val="000000"/>
          <w:sz w:val="24"/>
          <w:szCs w:val="24"/>
          <w:highlight w:val="none"/>
          <w:u w:val="none"/>
        </w:rPr>
        <w:t xml:space="preserve">月</w:t>
      </w:r>
      <w:r>
        <w:rPr>
          <w:rFonts w:hint="eastAsia" w:ascii="宋体" w:hAnsi="宋体" w:cs="宋体"/>
          <w:b w:val="0"/>
          <w:bCs w:val="0"/>
          <w:color w:val="000000"/>
          <w:sz w:val="24"/>
          <w:szCs w:val="24"/>
          <w:highlight w:val="none"/>
          <w:u w:val="none"/>
          <w:lang w:val="en-US" w:eastAsia="zh-CN"/>
        </w:rPr>
        <w:t xml:space="preserve">20</w:t>
      </w:r>
      <w:r>
        <w:rPr>
          <w:rFonts w:hint="eastAsia" w:ascii="宋体" w:hAnsi="宋体"/>
          <w:b w:val="0"/>
          <w:bCs w:val="0"/>
          <w:color w:val="000000"/>
          <w:sz w:val="24"/>
          <w:szCs w:val="24"/>
          <w:highlight w:val="none"/>
          <w:u w:val="none"/>
        </w:rPr>
        <w:t xml:space="preserve">日</w:t>
      </w:r>
      <w:r>
        <w:rPr>
          <w:rFonts w:hint="eastAsia" w:ascii="宋体" w:hAnsi="宋体" w:eastAsia="宋体" w:cs="宋体"/>
          <w:b w:val="0"/>
          <w:bCs w:val="0"/>
          <w:color w:val="000000"/>
          <w:sz w:val="24"/>
          <w:szCs w:val="24"/>
          <w:highlight w:val="none"/>
          <w:u w:val="none"/>
          <w:lang w:val="en-US" w:eastAsia="zh-CN"/>
        </w:rPr>
        <w:t xml:space="preserve">09</w:t>
      </w:r>
      <w:r>
        <w:rPr>
          <w:rFonts w:hint="eastAsia" w:ascii="Times New Roman" w:hAnsi="Times New Roman" w:eastAsia="宋体" w:cs="Times New Roman"/>
          <w:b w:val="0"/>
          <w:bCs w:val="0"/>
          <w:color w:val="000000"/>
          <w:sz w:val="24"/>
          <w:szCs w:val="24"/>
          <w:highlight w:val="none"/>
          <w:u w:val="none"/>
          <w:lang w:val="en-US" w:eastAsia="zh-CN"/>
        </w:rPr>
        <w:t xml:space="preserve">时00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p>
    <w:p>
      <w:pPr>
        <w:pStyle w:val="90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
    </w:p>
    <w:p>
      <w:pPr>
        <w:ind w:firstLine="480"/>
        <w:pageBreakBefore w:val="0"/>
        <w:spacing w:line="264" w:lineRule="auto"/>
        <w:widowControl w:val="off"/>
        <w:rPr>
          <w:rFonts w:ascii="宋体" w:hAnsi="宋体" w:cs="宋体"/>
          <w:color w:val="000000"/>
          <w:sz w:val="24"/>
          <w:szCs w:val="24"/>
          <w:highlight w:val="none"/>
        </w:rPr>
      </w:pPr>
      <w:r/>
      <w:bookmarkStart w:id="33" w:name="_Toc38985268"/>
      <w:r/>
      <w:bookmarkStart w:id="34" w:name="_Toc35393626"/>
      <w:r/>
      <w:bookmarkStart w:id="35" w:name="_Toc35393795"/>
      <w:r>
        <w:rPr>
          <w:rFonts w:hint="eastAsia" w:ascii="宋体" w:hAnsi="宋体" w:cs="宋体"/>
          <w:color w:val="000000"/>
          <w:sz w:val="24"/>
          <w:szCs w:val="24"/>
          <w:highlight w:val="none"/>
        </w:rPr>
        <w:t xml:space="preserve">磋商公告及磋商文件公告期限为自本公告发布之日起3个工作日。</w:t>
      </w:r>
      <w:r/>
    </w:p>
    <w:p>
      <w:pPr>
        <w:pStyle w:val="90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
    </w:p>
    <w:p>
      <w:pPr>
        <w:ind w:firstLine="480"/>
        <w:pageBreakBefore w:val="0"/>
        <w:spacing w:line="264" w:lineRule="auto"/>
        <w:widowControl w:val="off"/>
        <w:rPr>
          <w:rFonts w:hint="eastAsia" w:ascii="宋体" w:hAnsi="宋体" w:eastAsia="宋体" w:cs="宋体"/>
          <w:color w:val="000000"/>
          <w:sz w:val="24"/>
          <w:szCs w:val="24"/>
          <w:highlight w:val="none"/>
        </w:rPr>
      </w:pPr>
      <w:r/>
      <w:bookmarkStart w:id="36" w:name="_Toc38985269"/>
      <w:r/>
      <w:bookmarkStart w:id="37" w:name="_Toc28359085"/>
      <w:r/>
      <w:bookmarkStart w:id="38" w:name="_Toc28359008"/>
      <w:r/>
      <w:bookmarkStart w:id="39" w:name="_Toc35393627"/>
      <w:r/>
      <w:bookmarkStart w:id="40" w:name="_Toc35393796"/>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p>
    <w:p>
      <w:pPr>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p>
    <w:p>
      <w:pPr>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76"/>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p>
    <w:p>
      <w:pPr>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p>
    <w:p>
      <w:pPr>
        <w:pStyle w:val="90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6"/>
      <w:r/>
      <w:bookmarkEnd w:id="37"/>
      <w:r/>
      <w:bookmarkEnd w:id="38"/>
      <w:r/>
      <w:bookmarkEnd w:id="39"/>
      <w:r/>
      <w:bookmarkEnd w:id="40"/>
      <w:r/>
      <w:r/>
    </w:p>
    <w:p>
      <w:p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称：南京市六合区人民政府雄州街道办事处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址：南京市六合区雄州东路299号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李主任</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 025-57558089 </w:t>
      </w:r>
      <w:bookmarkStart w:id="41" w:name="_Toc28359086"/>
      <w:r/>
      <w:bookmarkStart w:id="42" w:name="_Toc28359009"/>
      <w:r/>
      <w:r/>
    </w:p>
    <w:p>
      <w:pPr>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1"/>
      <w:r/>
      <w:bookmarkEnd w:id="42"/>
      <w:r/>
      <w:r/>
    </w:p>
    <w:p>
      <w:pPr>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地　址：　南京市六合区雄州街道龙池路333号 </w:t>
      </w:r>
      <w:r/>
    </w:p>
    <w:p>
      <w:pPr>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联系人：</w:t>
      </w:r>
      <w:r>
        <w:rPr>
          <w:rFonts w:hint="eastAsia" w:cs="Times New Roman"/>
          <w:color w:val="000000"/>
          <w:sz w:val="24"/>
          <w:szCs w:val="24"/>
          <w:highlight w:val="none"/>
          <w:u w:val="none"/>
          <w:lang w:val="en-US" w:eastAsia="zh-CN"/>
        </w:rPr>
        <w:t xml:space="preserve">张雷</w:t>
      </w:r>
      <w:r>
        <w:rPr>
          <w:rFonts w:ascii="Times New Roman" w:hAnsi="Times New Roman" w:eastAsia="宋体" w:cs="Times New Roman"/>
          <w:color w:val="000000"/>
          <w:sz w:val="24"/>
          <w:szCs w:val="24"/>
          <w:highlight w:val="none"/>
          <w:u w:val="none"/>
          <w:lang w:val="en-US" w:eastAsia="zh-CN"/>
        </w:rPr>
        <w:t xml:space="preserve"> </w:t>
      </w:r>
      <w:r>
        <w:rPr>
          <w:rFonts w:hint="eastAsia"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rPr>
          <w:rFonts w:ascii="Times New Roman" w:hAnsi="Times New Roman" w:eastAsia="宋体" w:cs="Times New Roman"/>
          <w:color w:val="000000"/>
          <w:sz w:val="24"/>
          <w:szCs w:val="24"/>
          <w:highlight w:val="none"/>
          <w:u w:val="none"/>
          <w:lang w:val="en-US" w:eastAsia="zh-CN"/>
        </w:rPr>
        <w:t xml:space="preserve">联系电话：</w:t>
      </w:r>
      <w:r>
        <w:rPr>
          <w:rFonts w:hint="eastAsia" w:cs="Times New Roman"/>
          <w:color w:val="000000"/>
          <w:sz w:val="24"/>
          <w:szCs w:val="24"/>
          <w:highlight w:val="none"/>
          <w:u w:val="none"/>
          <w:lang w:val="en-US" w:eastAsia="zh-CN"/>
        </w:rPr>
        <w:t xml:space="preserve"> 025-57113806</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0"/>
        <w:numPr>
          <w:ilvl w:val="0"/>
          <w:numId w:val="0"/>
        </w:numPr>
        <w:jc w:val="both"/>
        <w:widowControl w:val="off"/>
        <w:rPr>
          <w:rFonts w:hint="eastAsia"/>
          <w:color w:val="000000"/>
          <w:highlight w:val="none"/>
        </w:rPr>
      </w:pPr>
      <w:r>
        <w:rPr>
          <w:rFonts w:hint="eastAsia"/>
          <w:color w:val="000000"/>
          <w:highlight w:val="none"/>
        </w:rPr>
      </w:r>
      <w:r/>
    </w:p>
    <w:p>
      <w:pPr>
        <w:pStyle w:val="73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pPr>
      <w:r/>
      <w:bookmarkStart w:id="43" w:name="_Toc120614211"/>
      <w:r/>
      <w:r/>
    </w:p>
    <w:p>
      <w:pPr>
        <w:pStyle w:val="73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3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2"/>
      <w:r/>
      <w:bookmarkEnd w:id="3"/>
      <w:r/>
      <w:bookmarkEnd w:id="4"/>
      <w:r/>
      <w:bookmarkEnd w:id="5"/>
      <w:r/>
      <w:bookmarkEnd w:id="6"/>
      <w:r/>
      <w:bookmarkEnd w:id="43"/>
      <w:r>
        <w:rPr>
          <w:rFonts w:hint="eastAsia" w:ascii="方正小标宋简体" w:hAnsi="方正小标宋简体" w:eastAsia="方正小标宋简体" w:cs="方正小标宋简体"/>
          <w:color w:val="000000"/>
          <w:sz w:val="36"/>
          <w:szCs w:val="36"/>
          <w:highlight w:val="none"/>
          <w:lang w:val="en-US" w:eastAsia="zh-CN" w:bidi="ar-SA"/>
        </w:rPr>
        <w:t xml:space="preserve">供应商须知</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4" w:name="_Toc16938519"/>
      <w:r/>
      <w:bookmarkStart w:id="45" w:name="_Toc120614214"/>
      <w:r/>
      <w:bookmarkStart w:id="46" w:name="_Toc20823275"/>
      <w:r/>
      <w:bookmarkStart w:id="47" w:name="_Toc513029203"/>
      <w:r>
        <w:rPr>
          <w:rFonts w:hint="eastAsia" w:ascii="方正黑体_GBK" w:hAnsi="方正黑体_GBK" w:eastAsia="方正黑体_GBK" w:cs="方正黑体_GBK"/>
          <w:b w:val="0"/>
          <w:bCs w:val="0"/>
          <w:color w:val="000000"/>
          <w:sz w:val="30"/>
          <w:szCs w:val="30"/>
          <w:highlight w:val="none"/>
        </w:rPr>
        <w:t xml:space="preserve">一、总则</w:t>
      </w:r>
      <w:bookmarkEnd w:id="44"/>
      <w:r/>
      <w:bookmarkEnd w:id="45"/>
      <w:r/>
      <w:bookmarkEnd w:id="46"/>
      <w:r/>
      <w:bookmarkEnd w:id="47"/>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8" w:name="_Hlt16619475"/>
      <w:r/>
      <w:bookmarkEnd w:id="48"/>
      <w:r/>
      <w:bookmarkStart w:id="49" w:name="_Toc458694821"/>
      <w:r/>
      <w:bookmarkStart w:id="50" w:name="_Toc20823276"/>
      <w:r/>
      <w:bookmarkStart w:id="51" w:name="_Toc513029204"/>
      <w:r/>
      <w:bookmarkStart w:id="52" w:name="_Toc16938520"/>
      <w:r>
        <w:rPr>
          <w:rFonts w:hint="eastAsia" w:ascii="方正楷体_GBK" w:hAnsi="方正楷体_GBK" w:eastAsia="方正楷体_GBK" w:cs="方正楷体_GBK"/>
          <w:b/>
          <w:bCs/>
          <w:color w:val="000000"/>
          <w:sz w:val="28"/>
          <w:szCs w:val="28"/>
          <w:highlight w:val="none"/>
          <w:lang w:val="en-US" w:eastAsia="zh-CN"/>
        </w:rPr>
        <w:t xml:space="preserve">1</w:t>
      </w:r>
      <w:bookmarkEnd w:id="49"/>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50"/>
      <w:r/>
      <w:bookmarkEnd w:id="51"/>
      <w:r/>
      <w:bookmarkEnd w:id="52"/>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)方式，本磋商文件仅适用于磋商公告中所述项目。</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3" w:name="_Toc513029205"/>
      <w:r/>
      <w:bookmarkStart w:id="54" w:name="_Toc20823277"/>
      <w:r/>
      <w:bookmarkStart w:id="55" w:name="_Toc16938521"/>
      <w:r>
        <w:rPr>
          <w:rFonts w:hint="eastAsia" w:ascii="方正楷体_GBK" w:hAnsi="方正楷体_GBK" w:eastAsia="方正楷体_GBK" w:cs="方正楷体_GBK"/>
          <w:b/>
          <w:bCs/>
          <w:color w:val="000000"/>
          <w:sz w:val="28"/>
          <w:szCs w:val="28"/>
          <w:highlight w:val="none"/>
          <w:lang w:val="en-US" w:eastAsia="zh-CN"/>
        </w:rPr>
        <w:t xml:space="preserve">2.合格的</w:t>
      </w:r>
      <w:bookmarkEnd w:id="53"/>
      <w:r/>
      <w:bookmarkEnd w:id="54"/>
      <w:r/>
      <w:bookmarkEnd w:id="55"/>
      <w:r>
        <w:rPr>
          <w:rFonts w:hint="eastAsia" w:ascii="方正楷体_GBK" w:hAnsi="方正楷体_GBK" w:eastAsia="方正楷体_GBK" w:cs="方正楷体_GBK"/>
          <w:b/>
          <w:bCs/>
          <w:color w:val="000000"/>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满足磋商公告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满足本</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6" w:name="_Toc16938522"/>
      <w:r/>
      <w:bookmarkStart w:id="57" w:name="_Toc513029206"/>
      <w:r/>
      <w:bookmarkStart w:id="58" w:name="_Toc20823278"/>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56"/>
      <w:r/>
      <w:bookmarkEnd w:id="57"/>
      <w:r/>
      <w:bookmarkEnd w:id="58"/>
      <w:r/>
      <w:r/>
    </w:p>
    <w:p>
      <w:pPr>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9" w:name="_Toc462564067"/>
      <w:r/>
      <w:bookmarkStart w:id="60" w:name="_Toc513029207"/>
      <w:r/>
      <w:bookmarkStart w:id="61" w:name="_Toc16938523"/>
      <w:r/>
      <w:bookmarkStart w:id="62" w:name="_Toc20823279"/>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59"/>
      <w:r/>
      <w:bookmarkEnd w:id="60"/>
      <w:r/>
      <w:bookmarkEnd w:id="61"/>
      <w:r/>
      <w:bookmarkEnd w:id="62"/>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供应商应自行承担所有与参加磋商有关的费用，无论磋商过程中的做法和结果如何，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本次磋商</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采购文件</w:t>
      </w:r>
      <w:r>
        <w:rPr>
          <w:rFonts w:hint="eastAsia" w:ascii="宋体" w:hAnsi="宋体" w:eastAsia="宋体" w:cs="Times New Roman"/>
          <w:color w:val="000000"/>
          <w:sz w:val="24"/>
          <w:szCs w:val="21"/>
          <w:highlight w:val="none"/>
        </w:rPr>
        <w:t xml:space="preserve">工本费与成交服务费。</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供应商一旦参加本项目采购活动，即被认为接受了本磋商文件的规定和约束。</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3" w:name="_Toc20823281"/>
      <w:r/>
      <w:bookmarkStart w:id="64" w:name="_Toc16938525"/>
      <w:r/>
      <w:bookmarkStart w:id="65" w:name="_Toc120614215"/>
      <w:r/>
      <w:bookmarkStart w:id="66" w:name="_Toc513029209"/>
      <w:r>
        <w:rPr>
          <w:rFonts w:hint="eastAsia" w:ascii="方正黑体_GBK" w:hAnsi="方正黑体_GBK" w:eastAsia="方正黑体_GBK" w:cs="方正黑体_GBK"/>
          <w:b w:val="0"/>
          <w:bCs w:val="0"/>
          <w:color w:val="000000"/>
          <w:sz w:val="30"/>
          <w:szCs w:val="30"/>
          <w:highlight w:val="none"/>
        </w:rPr>
        <w:t xml:space="preserve">二、</w:t>
      </w:r>
      <w:bookmarkEnd w:id="63"/>
      <w:r/>
      <w:bookmarkEnd w:id="64"/>
      <w:r/>
      <w:bookmarkEnd w:id="65"/>
      <w:r/>
      <w:bookmarkEnd w:id="66"/>
      <w:r>
        <w:rPr>
          <w:rFonts w:hint="eastAsia" w:ascii="方正黑体_GBK" w:hAnsi="方正黑体_GBK" w:eastAsia="方正黑体_GBK" w:cs="方正黑体_GBK"/>
          <w:b w:val="0"/>
          <w:bCs w:val="0"/>
          <w:color w:val="000000"/>
          <w:sz w:val="30"/>
          <w:szCs w:val="30"/>
          <w:highlight w:val="none"/>
        </w:rPr>
        <w:t xml:space="preserve">磋商文件</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7" w:name="_Toc513029210"/>
      <w:r/>
      <w:bookmarkStart w:id="68" w:name="_Toc16938526"/>
      <w:r/>
      <w:bookmarkStart w:id="69" w:name="_Toc20823282"/>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0" w:name="_Toc513029211"/>
      <w:r/>
      <w:bookmarkStart w:id="71" w:name="_Toc462564070"/>
      <w:r/>
      <w:bookmarkStart w:id="72" w:name="_Toc16938527"/>
      <w:r/>
      <w:bookmarkStart w:id="73" w:name="_Toc20823283"/>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70"/>
      <w:r/>
      <w:bookmarkEnd w:id="71"/>
      <w:r/>
      <w:bookmarkEnd w:id="72"/>
      <w:r/>
      <w:bookmarkEnd w:id="73"/>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日前按磋商公告中的通讯地址，以书面形式通知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4" w:name="_Toc16938528"/>
      <w:r/>
      <w:bookmarkStart w:id="75" w:name="_Toc462564071"/>
      <w:r/>
      <w:bookmarkStart w:id="76" w:name="_Toc513029212"/>
      <w:r/>
      <w:bookmarkStart w:id="77" w:name="_Toc20823284"/>
      <w:r>
        <w:rPr>
          <w:rFonts w:hint="eastAsia" w:ascii="方正楷体_GBK" w:hAnsi="方正楷体_GBK" w:eastAsia="方正楷体_GBK" w:cs="方正楷体_GBK"/>
          <w:b/>
          <w:bCs/>
          <w:color w:val="000000"/>
          <w:sz w:val="28"/>
          <w:szCs w:val="28"/>
          <w:highlight w:val="none"/>
          <w:lang w:val="en-US" w:eastAsia="zh-CN"/>
        </w:rPr>
        <w:t xml:space="preserve">8.磋商文件的澄清和修改</w:t>
      </w:r>
      <w:bookmarkEnd w:id="74"/>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78" w:name="_Toc16938529"/>
      <w:r/>
      <w:bookmarkStart w:id="79" w:name="_Toc462564072"/>
      <w:r/>
      <w:bookmarkStart w:id="80" w:name="_Toc20823285"/>
      <w:r/>
      <w:bookmarkStart w:id="81" w:name="_Toc120614216"/>
      <w:r/>
      <w:bookmarkStart w:id="82" w:name="_Toc513029213"/>
      <w:r>
        <w:rPr>
          <w:rFonts w:hint="eastAsia" w:ascii="宋体" w:hAnsi="宋体" w:eastAsia="宋体" w:cs="Times New Roman"/>
          <w:color w:val="000000"/>
          <w:sz w:val="24"/>
          <w:szCs w:val="21"/>
          <w:highlight w:val="none"/>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交易中心有权按照法定的要求推迟提交响应文件截止时间，并在原公告媒体发布更正公告。</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78"/>
      <w:r/>
      <w:bookmarkEnd w:id="79"/>
      <w:r/>
      <w:bookmarkEnd w:id="80"/>
      <w:r/>
      <w:bookmarkEnd w:id="81"/>
      <w:r/>
      <w:bookmarkEnd w:id="82"/>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3" w:name="_Toc20823286"/>
      <w:r/>
      <w:bookmarkStart w:id="84" w:name="_Toc513029214"/>
      <w:r/>
      <w:bookmarkStart w:id="85" w:name="_Toc16938530"/>
      <w:r/>
      <w:bookmarkStart w:id="86" w:name="_Toc462564073"/>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bookmarkEnd w:id="83"/>
      <w:r/>
      <w:bookmarkEnd w:id="84"/>
      <w:r/>
      <w:bookmarkEnd w:id="85"/>
      <w:r/>
      <w:bookmarkEnd w:id="86"/>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除技术性能另有规定外，响应文件所使用的度量衡单位，均须采用国家法定计量单位。</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7" w:name="_Toc16938531"/>
      <w:r/>
      <w:bookmarkStart w:id="88" w:name="_Toc462564074"/>
      <w:r/>
      <w:bookmarkStart w:id="89" w:name="_Toc513029215"/>
      <w:r/>
      <w:bookmarkStart w:id="90" w:name="_Toc20823287"/>
      <w:r>
        <w:rPr>
          <w:rFonts w:hint="eastAsia" w:ascii="方正楷体_GBK" w:hAnsi="方正楷体_GBK" w:eastAsia="方正楷体_GBK" w:cs="方正楷体_GBK"/>
          <w:b/>
          <w:bCs/>
          <w:color w:val="000000"/>
          <w:sz w:val="28"/>
          <w:szCs w:val="28"/>
          <w:highlight w:val="none"/>
          <w:lang w:val="en-US" w:eastAsia="zh-CN"/>
        </w:rPr>
        <w:t xml:space="preserve">10.响应文件构成</w:t>
      </w:r>
      <w:bookmarkEnd w:id="87"/>
      <w:r/>
      <w:bookmarkEnd w:id="88"/>
      <w:r/>
      <w:bookmarkEnd w:id="89"/>
      <w:r/>
      <w:bookmarkEnd w:id="90"/>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eastAsia="zh-CN"/>
        </w:rPr>
        <w:t xml:space="preserve">磋商报价明细表</w:t>
      </w:r>
      <w:r>
        <w:rPr>
          <w:rFonts w:hint="eastAsia" w:ascii="宋体" w:hAnsi="宋体" w:eastAsia="宋体" w:cs="Times New Roman"/>
          <w:color w:val="000000"/>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如标书制作工具中格式和内容与“江苏政府采购网”发布的磋商文件不一致，以“江苏政府采购网”发布的磋商文件为准。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1" w:name="_Hlt26670360"/>
      <w:r/>
      <w:bookmarkEnd w:id="91"/>
      <w:r/>
      <w:bookmarkStart w:id="92" w:name="_Hlt26668975"/>
      <w:r/>
      <w:bookmarkEnd w:id="92"/>
      <w:r/>
      <w:bookmarkStart w:id="93" w:name="_Hlt26954838"/>
      <w:r/>
      <w:bookmarkEnd w:id="93"/>
      <w:r/>
      <w:bookmarkStart w:id="94" w:name="_Toc513029219"/>
      <w:r/>
      <w:bookmarkStart w:id="95" w:name="_Toc14577357"/>
      <w:r/>
      <w:bookmarkStart w:id="96" w:name="_Toc49090509"/>
      <w:r/>
      <w:bookmarkStart w:id="97" w:name="_Toc49090507"/>
      <w:r/>
      <w:bookmarkStart w:id="98" w:name="_Toc14577354"/>
      <w:r/>
      <w:bookmarkStart w:id="99" w:name="_Toc513029216"/>
      <w:r/>
      <w:bookmarkStart w:id="100" w:name="_Toc49090508"/>
      <w:r/>
      <w:bookmarkStart w:id="101" w:name="_Toc14577355"/>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bookmarkEnd w:id="94"/>
      <w:r/>
      <w:bookmarkEnd w:id="95"/>
      <w:r/>
      <w:bookmarkEnd w:id="96"/>
      <w:r/>
      <w:bookmarkEnd w:id="97"/>
      <w:r/>
      <w:bookmarkEnd w:id="98"/>
      <w:r/>
      <w:bookmarkEnd w:id="99"/>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磋商文件对证明文件无明确形式要求的，证明文件可以以文字资料、图纸和数据等形式提交。</w:t>
      </w:r>
      <w:bookmarkEnd w:id="100"/>
      <w:r/>
      <w:bookmarkEnd w:id="101"/>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w:t>
      </w:r>
      <w:r>
        <w:rPr>
          <w:rFonts w:hint="eastAsia" w:ascii="宋体" w:hAnsi="宋体" w:eastAsia="宋体" w:cs="Times New Roman"/>
          <w:color w:val="000000"/>
          <w:sz w:val="24"/>
          <w:szCs w:val="21"/>
          <w:highlight w:val="none"/>
          <w:lang w:eastAsia="zh-CN"/>
        </w:rPr>
        <w:t xml:space="preserve">磋商报价明细表</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磋商货币。响应文件中的单价和总价无特殊规定的采用人民币报价，以元为单位标注。磋商文件中另有规定的按规定执行。</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2" w:name="_Hlt26954731"/>
      <w:r/>
      <w:bookmarkEnd w:id="102"/>
      <w:r/>
      <w:bookmarkStart w:id="103" w:name="_Hlt26670486"/>
      <w:r/>
      <w:bookmarkEnd w:id="103"/>
      <w:r/>
      <w:bookmarkStart w:id="104" w:name="_Hlt26954846"/>
      <w:r/>
      <w:bookmarkEnd w:id="104"/>
      <w:r/>
      <w:bookmarkStart w:id="105" w:name="_Hlt26954848"/>
      <w:r/>
      <w:bookmarkEnd w:id="105"/>
      <w:r/>
      <w:bookmarkStart w:id="106" w:name="_Hlt26670482"/>
      <w:r/>
      <w:bookmarkEnd w:id="106"/>
      <w:r>
        <w:rPr>
          <w:rFonts w:hint="eastAsia" w:ascii="方正楷体_GBK" w:hAnsi="方正楷体_GBK" w:eastAsia="方正楷体_GBK" w:cs="方正楷体_GBK"/>
          <w:b/>
          <w:bCs/>
          <w:color w:val="000000"/>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7" w:name="_Toc49090510"/>
      <w:r/>
      <w:bookmarkStart w:id="108" w:name="_Toc14577359"/>
      <w:r>
        <w:rPr>
          <w:rFonts w:hint="eastAsia" w:ascii="方正楷体_GBK" w:hAnsi="方正楷体_GBK" w:eastAsia="方正楷体_GBK" w:cs="方正楷体_GBK"/>
          <w:b/>
          <w:bCs/>
          <w:color w:val="000000"/>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bookmarkEnd w:id="107"/>
      <w:r/>
      <w:bookmarkEnd w:id="108"/>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9" w:name="_Toc49090511"/>
      <w:r/>
      <w:bookmarkStart w:id="110" w:name="_Toc14577360"/>
      <w:r>
        <w:rPr>
          <w:rFonts w:hint="eastAsia" w:ascii="方正楷体_GBK" w:hAnsi="方正楷体_GBK" w:eastAsia="方正楷体_GBK" w:cs="方正楷体_GBK"/>
          <w:b/>
          <w:bCs/>
          <w:color w:val="000000"/>
          <w:sz w:val="28"/>
          <w:szCs w:val="28"/>
          <w:highlight w:val="none"/>
          <w:lang w:val="en-US" w:eastAsia="zh-CN"/>
        </w:rPr>
        <w:t xml:space="preserve">15.磋商有效期</w:t>
      </w:r>
      <w:bookmarkEnd w:id="109"/>
      <w:r/>
      <w:bookmarkEnd w:id="110"/>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11" w:name="_Hlt26954852"/>
      <w:r/>
      <w:bookmarkEnd w:id="111"/>
      <w:r/>
      <w:bookmarkStart w:id="112" w:name="_Hlt26954739"/>
      <w:r/>
      <w:bookmarkEnd w:id="112"/>
      <w:r/>
      <w:bookmarkStart w:id="113" w:name="_Toc16938540"/>
      <w:r/>
      <w:bookmarkStart w:id="114" w:name="_Toc120614217"/>
      <w:r/>
      <w:bookmarkStart w:id="115" w:name="_Toc20823296"/>
      <w:r/>
      <w:bookmarkStart w:id="116"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113"/>
      <w:r/>
      <w:bookmarkEnd w:id="114"/>
      <w:r/>
      <w:bookmarkEnd w:id="115"/>
      <w:r/>
      <w:bookmarkEnd w:id="116"/>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7" w:name="_Toc462564084"/>
      <w:r/>
      <w:bookmarkStart w:id="118" w:name="_Toc16938541"/>
      <w:r/>
      <w:bookmarkStart w:id="119" w:name="_Toc20823297"/>
      <w:r/>
      <w:bookmarkStart w:id="120" w:name="_Toc513029225"/>
      <w:r>
        <w:rPr>
          <w:rFonts w:hint="eastAsia" w:ascii="方正楷体_GBK" w:hAnsi="方正楷体_GBK" w:eastAsia="方正楷体_GBK" w:cs="方正楷体_GBK"/>
          <w:b/>
          <w:bCs/>
          <w:color w:val="000000"/>
          <w:sz w:val="28"/>
          <w:szCs w:val="28"/>
          <w:highlight w:val="none"/>
          <w:lang w:val="en-US" w:eastAsia="zh-CN"/>
        </w:rPr>
        <w:t xml:space="preserve">17.</w:t>
      </w:r>
      <w:bookmarkEnd w:id="117"/>
      <w:r/>
      <w:bookmarkEnd w:id="118"/>
      <w:r/>
      <w:bookmarkEnd w:id="119"/>
      <w:r/>
      <w:bookmarkEnd w:id="120"/>
      <w:r>
        <w:rPr>
          <w:rFonts w:hint="eastAsia" w:ascii="方正楷体_GBK" w:hAnsi="方正楷体_GBK" w:eastAsia="方正楷体_GBK" w:cs="方正楷体_GBK"/>
          <w:b/>
          <w:bCs/>
          <w:color w:val="000000"/>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供应商应当按照《操作手册》规定，在</w:t>
      </w:r>
      <w:r>
        <w:rPr>
          <w:rFonts w:hint="eastAsia" w:ascii="宋体" w:hAnsi="宋体" w:eastAsia="宋体" w:cs="Times New Roman"/>
          <w:color w:val="000000"/>
          <w:sz w:val="24"/>
          <w:szCs w:val="21"/>
          <w:highlight w:val="none"/>
          <w:lang w:eastAsia="zh-CN"/>
        </w:rPr>
        <w:t xml:space="preserve">磋商公告规定的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121" w:name="_Toc20823298"/>
      <w:r/>
      <w:bookmarkStart w:id="122" w:name="_Toc513029226"/>
      <w:r/>
      <w:bookmarkStart w:id="123" w:name="_Toc16938542"/>
      <w:r/>
      <w:bookmarkEnd w:id="121"/>
      <w:r/>
      <w:bookmarkEnd w:id="122"/>
      <w:r/>
      <w:bookmarkEnd w:id="123"/>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可能对磋商产生的影响</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可以按照规定，通过修改磋商文件酌情延长提交响应文件截止日期，在此情况下，供应商的所有权利和义务均以延长后新的截止日期为准。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4" w:name="_Toc513029227"/>
      <w:r/>
      <w:bookmarkStart w:id="125" w:name="_Toc20823299"/>
      <w:r/>
      <w:bookmarkStart w:id="126" w:name="_Toc16938543"/>
      <w:r>
        <w:rPr>
          <w:rFonts w:hint="eastAsia" w:ascii="方正楷体_GBK" w:hAnsi="方正楷体_GBK" w:eastAsia="方正楷体_GBK" w:cs="方正楷体_GBK"/>
          <w:b/>
          <w:bCs/>
          <w:color w:val="000000"/>
          <w:sz w:val="28"/>
          <w:szCs w:val="28"/>
          <w:highlight w:val="none"/>
          <w:lang w:val="en-US" w:eastAsia="zh-CN"/>
        </w:rPr>
        <w:t xml:space="preserve">18.响应文件</w:t>
      </w:r>
      <w:bookmarkEnd w:id="124"/>
      <w:r/>
      <w:bookmarkEnd w:id="125"/>
      <w:r/>
      <w:bookmarkEnd w:id="126"/>
      <w:r>
        <w:rPr>
          <w:rFonts w:hint="eastAsia" w:ascii="方正楷体_GBK" w:hAnsi="方正楷体_GBK" w:eastAsia="方正楷体_GBK" w:cs="方正楷体_GBK"/>
          <w:b/>
          <w:bCs/>
          <w:color w:val="000000"/>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拒绝接收提交响应文件截止时间后上传的任何电子响应文件。</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7" w:name="_Toc16938544"/>
      <w:r/>
      <w:bookmarkStart w:id="128" w:name="_Toc513029228"/>
      <w:r/>
      <w:bookmarkStart w:id="129" w:name="_Toc20823300"/>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bookmarkEnd w:id="127"/>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在提交响应文件截止时间至磋商文件中规定的磋商有效期满之间的这段时间内，供应商不得撤回其响应文件。</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0" w:name="_Toc120614218"/>
      <w:r/>
      <w:bookmarkStart w:id="131" w:name="_Toc20823301"/>
      <w:r/>
      <w:bookmarkStart w:id="132" w:name="_Toc16938545"/>
      <w:r/>
      <w:bookmarkStart w:id="133"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30"/>
      <w:r/>
      <w:bookmarkEnd w:id="131"/>
      <w:r/>
      <w:bookmarkEnd w:id="132"/>
      <w:r/>
      <w:bookmarkEnd w:id="133"/>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4" w:name="_Toc16938546"/>
      <w:r/>
      <w:bookmarkStart w:id="135" w:name="_Toc20823302"/>
      <w:r/>
      <w:bookmarkStart w:id="136" w:name="_Toc513029230"/>
      <w:r>
        <w:rPr>
          <w:rFonts w:hint="eastAsia" w:ascii="方正楷体_GBK" w:hAnsi="方正楷体_GBK" w:eastAsia="方正楷体_GBK" w:cs="方正楷体_GBK"/>
          <w:b/>
          <w:bCs/>
          <w:color w:val="000000"/>
          <w:sz w:val="28"/>
          <w:szCs w:val="28"/>
          <w:highlight w:val="none"/>
          <w:lang w:val="en-US" w:eastAsia="zh-CN"/>
        </w:rPr>
        <w:t xml:space="preserve">2</w:t>
      </w:r>
      <w:bookmarkEnd w:id="134"/>
      <w:r/>
      <w:bookmarkEnd w:id="135"/>
      <w:r/>
      <w:bookmarkEnd w:id="136"/>
      <w:r>
        <w:rPr>
          <w:rFonts w:hint="eastAsia" w:ascii="方正楷体_GBK" w:hAnsi="方正楷体_GBK" w:eastAsia="方正楷体_GBK" w:cs="方正楷体_GBK"/>
          <w:b/>
          <w:bCs/>
          <w:color w:val="000000"/>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7" w:name="_Toc16938547"/>
      <w:r/>
      <w:bookmarkStart w:id="138" w:name="_Toc513029231"/>
      <w:r/>
      <w:bookmarkStart w:id="139" w:name="_Toc20823303"/>
      <w:r>
        <w:rPr>
          <w:rFonts w:hint="eastAsia" w:ascii="方正楷体_GBK" w:hAnsi="方正楷体_GBK" w:eastAsia="方正楷体_GBK" w:cs="方正楷体_GBK"/>
          <w:b/>
          <w:bCs/>
          <w:color w:val="000000"/>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交易中心将组织磋商小组对响应文件进行评审。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磋商小组由采购人代表和有关技术、经济等方面的专家组成，且人员构成符合政府采购有关规定。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bookmarkEnd w:id="137"/>
      <w:r/>
      <w:bookmarkEnd w:id="138"/>
      <w:r/>
      <w:bookmarkEnd w:id="139"/>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供应商不得以任何方式影响磋商评审，否则其响应文件将被作为无效响应文件。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40" w:name="_Toc513029232"/>
      <w:r/>
      <w:bookmarkStart w:id="141" w:name="_Toc20823304"/>
      <w:r/>
      <w:bookmarkStart w:id="142" w:name="_Toc16938548"/>
      <w:r>
        <w:rPr>
          <w:rFonts w:hint="eastAsia" w:ascii="方正楷体_GBK" w:hAnsi="方正楷体_GBK" w:eastAsia="方正楷体_GBK" w:cs="方正楷体_GBK"/>
          <w:b/>
          <w:bCs/>
          <w:color w:val="000000"/>
          <w:sz w:val="28"/>
          <w:szCs w:val="28"/>
          <w:highlight w:val="none"/>
          <w:lang w:val="en-US" w:eastAsia="zh-CN"/>
        </w:rPr>
        <w:t xml:space="preserve">23.评审过程中的澄清</w:t>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磋商小组并非对每个供应商都作澄清要求。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43" w:name="_Toc16938549"/>
      <w:r/>
      <w:bookmarkStart w:id="144" w:name="_Toc20823305"/>
      <w:r/>
      <w:bookmarkStart w:id="145" w:name="_Toc513029233"/>
      <w:r>
        <w:rPr>
          <w:rFonts w:hint="eastAsia" w:ascii="方正楷体_GBK" w:hAnsi="方正楷体_GBK" w:eastAsia="方正楷体_GBK" w:cs="方正楷体_GBK"/>
          <w:b/>
          <w:bCs/>
          <w:color w:val="000000"/>
          <w:sz w:val="28"/>
          <w:szCs w:val="28"/>
          <w:highlight w:val="none"/>
          <w:lang w:val="en-US" w:eastAsia="zh-CN"/>
        </w:rPr>
        <w:t xml:space="preserve">24.响应文件的审</w:t>
      </w:r>
      <w:bookmarkEnd w:id="143"/>
      <w:r/>
      <w:bookmarkEnd w:id="144"/>
      <w:r/>
      <w:bookmarkEnd w:id="145"/>
      <w:r>
        <w:rPr>
          <w:rFonts w:hint="eastAsia" w:ascii="方正楷体_GBK" w:hAnsi="方正楷体_GBK" w:eastAsia="方正楷体_GBK" w:cs="方正楷体_GBK"/>
          <w:b/>
          <w:bCs/>
          <w:color w:val="000000"/>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供应商不具备磋商文件中规定资格要求的。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不符合磋商文件中规定的实质性要求和条件的（</w:t>
      </w:r>
      <w:r>
        <w:rPr>
          <w:rFonts w:hint="eastAsia" w:ascii="宋体" w:hAnsi="宋体" w:eastAsia="宋体" w:cs="Times New Roman"/>
          <w:b/>
          <w:bCs/>
          <w:i w:val="0"/>
          <w:iCs w:val="0"/>
          <w:color w:val="000000"/>
          <w:sz w:val="24"/>
          <w:szCs w:val="21"/>
          <w:highlight w:val="none"/>
          <w:u w:val="none"/>
          <w:lang w:val="en-US" w:eastAsia="zh-CN"/>
        </w:rPr>
        <w:t xml:space="preserve">本磋商文件中斜体且有下划线部分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响应文件含有采购人不能接受的附加条件的。</w:t>
      </w:r>
      <w:r/>
    </w:p>
    <w:p>
      <w:pPr>
        <w:ind w:firstLine="420"/>
        <w:keepLines w:val="0"/>
        <w:keepNext w:val="0"/>
        <w:pageBreakBefore w:val="0"/>
        <w:spacing w:line="240" w:lineRule="auto"/>
        <w:widowControl w:val="off"/>
        <w:rPr>
          <w:rFonts w:hint="eastAsia"/>
          <w:lang w:val="en-US" w:eastAsia="zh-CN"/>
        </w:rPr>
      </w:pPr>
      <w:r>
        <w:rPr>
          <w:rFonts w:hint="eastAsia" w:ascii="宋体" w:hAnsi="宋体" w:eastAsia="宋体" w:cs="Times New Roman"/>
          <w:color w:val="000000"/>
          <w:sz w:val="24"/>
          <w:szCs w:val="21"/>
          <w:highlight w:val="none"/>
          <w:lang w:val="en-US" w:eastAsia="zh-CN"/>
        </w:rPr>
        <w:t xml:space="preserve">24.3.9 磋商小组</w:t>
      </w:r>
      <w:r>
        <w:rPr>
          <w:rFonts w:hint="eastAsia" w:ascii="宋体" w:hAnsi="宋体" w:eastAsia="宋体" w:cs="Times New Roman"/>
          <w:color w:val="auto"/>
          <w:sz w:val="24"/>
          <w:lang w:val="zh-CN" w:eastAsia="zh-CN"/>
        </w:rPr>
        <w:t xml:space="preserve">发现投标人报价低于采购项目预算50%，或者低于采购项目最高限价45%，或者</w:t>
      </w:r>
      <w:r>
        <w:rPr>
          <w:rFonts w:hint="eastAsia" w:ascii="宋体" w:hAnsi="宋体" w:eastAsia="宋体" w:cs="Times New Roman"/>
          <w:color w:val="auto"/>
          <w:sz w:val="24"/>
          <w:lang w:val="zh-CN"/>
        </w:rPr>
        <w:t xml:space="preserve">认为投标人的报价</w:t>
      </w:r>
      <w:r>
        <w:rPr>
          <w:rFonts w:hint="eastAsia" w:ascii="宋体" w:hAnsi="宋体" w:eastAsia="宋体" w:cs="Times New Roman"/>
          <w:color w:val="auto"/>
          <w:sz w:val="24"/>
          <w:lang w:val="zh-CN" w:eastAsia="zh-CN"/>
        </w:rPr>
        <w:t xml:space="preserve">过低</w:t>
      </w:r>
      <w:r>
        <w:rPr>
          <w:rFonts w:hint="eastAsia" w:ascii="宋体" w:hAnsi="宋体" w:eastAsia="宋体" w:cs="Times New Roman"/>
          <w:color w:val="auto"/>
          <w:sz w:val="24"/>
          <w:lang w:val="zh-CN"/>
        </w:rPr>
        <w:t xml:space="preserve">，有可能影响</w:t>
      </w:r>
      <w:r>
        <w:rPr>
          <w:rFonts w:hint="eastAsia" w:ascii="宋体" w:hAnsi="宋体" w:eastAsia="宋体" w:cs="Times New Roman"/>
          <w:color w:val="auto"/>
          <w:sz w:val="24"/>
          <w:lang w:val="zh-CN" w:eastAsia="zh-CN"/>
        </w:rPr>
        <w:t xml:space="preserve">产品或服务</w:t>
      </w:r>
      <w:r>
        <w:rPr>
          <w:rFonts w:hint="eastAsia" w:ascii="宋体" w:hAnsi="宋体" w:eastAsia="宋体" w:cs="Times New Roman"/>
          <w:color w:val="auto"/>
          <w:sz w:val="24"/>
          <w:lang w:val="zh-CN"/>
        </w:rPr>
        <w:t xml:space="preserve">质量或不能诚信履约的，</w:t>
      </w:r>
      <w:r>
        <w:rPr>
          <w:rFonts w:hint="eastAsia" w:ascii="宋体" w:hAnsi="宋体" w:eastAsia="宋体" w:cs="Times New Roman"/>
          <w:color w:val="auto"/>
          <w:sz w:val="24"/>
          <w:lang w:val="zh-CN" w:eastAsia="zh-CN"/>
        </w:rPr>
        <w:t xml:space="preserve">应当启动异常低价投标审查机制，</w:t>
      </w:r>
      <w:r>
        <w:rPr>
          <w:rFonts w:hint="eastAsia" w:ascii="宋体" w:hAnsi="宋体" w:eastAsia="宋体" w:cs="Times New Roman"/>
          <w:color w:val="auto"/>
          <w:sz w:val="24"/>
          <w:lang w:val="zh-CN"/>
        </w:rPr>
        <w:t xml:space="preserve">通过苏采云系统要求</w:t>
      </w:r>
      <w:r>
        <w:rPr>
          <w:rFonts w:hint="eastAsia" w:ascii="宋体" w:hAnsi="宋体" w:eastAsia="宋体" w:cs="Times New Roman"/>
          <w:color w:val="auto"/>
          <w:sz w:val="24"/>
          <w:lang w:val="zh-CN" w:eastAsia="zh-CN"/>
        </w:rPr>
        <w:t xml:space="preserve">投标人</w:t>
      </w:r>
      <w:r>
        <w:rPr>
          <w:rFonts w:hint="eastAsia" w:ascii="宋体" w:hAnsi="宋体" w:eastAsia="宋体" w:cs="Times New Roman"/>
          <w:color w:val="auto"/>
          <w:sz w:val="24"/>
          <w:lang w:val="zh-CN"/>
        </w:rPr>
        <w:t xml:space="preserve">在合理的时间内提供</w:t>
      </w:r>
      <w:r>
        <w:rPr>
          <w:rFonts w:hint="eastAsia" w:ascii="宋体" w:hAnsi="宋体" w:eastAsia="宋体" w:cs="Times New Roman"/>
          <w:color w:val="auto"/>
          <w:sz w:val="24"/>
          <w:lang w:val="zh-CN" w:eastAsia="zh-CN"/>
        </w:rPr>
        <w:t xml:space="preserve">项目具体成本测算等与报价合理性相关的书面</w:t>
      </w:r>
      <w:r>
        <w:rPr>
          <w:rFonts w:hint="eastAsia" w:ascii="宋体" w:hAnsi="宋体" w:eastAsia="宋体" w:cs="Times New Roman"/>
          <w:color w:val="auto"/>
          <w:sz w:val="24"/>
          <w:lang w:val="zh-CN"/>
        </w:rPr>
        <w:t xml:space="preserve">说明</w:t>
      </w:r>
      <w:r>
        <w:rPr>
          <w:rFonts w:hint="eastAsia" w:ascii="宋体" w:hAnsi="宋体" w:eastAsia="宋体" w:cs="Times New Roman"/>
          <w:color w:val="auto"/>
          <w:sz w:val="24"/>
          <w:lang w:val="zh-CN" w:eastAsia="zh-CN"/>
        </w:rPr>
        <w:t xml:space="preserve">及相关证明材料</w:t>
      </w:r>
      <w:r>
        <w:rPr>
          <w:rFonts w:hint="eastAsia" w:ascii="宋体" w:hAnsi="宋体" w:eastAsia="宋体" w:cs="Times New Roman"/>
          <w:color w:val="auto"/>
          <w:sz w:val="24"/>
          <w:lang w:val="zh-CN"/>
        </w:rPr>
        <w:t xml:space="preserve">。投标人</w:t>
      </w:r>
      <w:r>
        <w:rPr>
          <w:rFonts w:hint="eastAsia" w:ascii="宋体" w:hAnsi="宋体" w:eastAsia="宋体" w:cs="Times New Roman"/>
          <w:color w:val="auto"/>
          <w:sz w:val="24"/>
          <w:lang w:val="zh-CN" w:eastAsia="zh-CN"/>
        </w:rPr>
        <w:t xml:space="preserve">不提供书面说明及证明材料，或者书面说明、证明材料</w:t>
      </w:r>
      <w:r>
        <w:rPr>
          <w:rFonts w:hint="eastAsia" w:ascii="宋体" w:hAnsi="宋体" w:eastAsia="宋体" w:cs="Times New Roman"/>
          <w:color w:val="auto"/>
          <w:sz w:val="24"/>
          <w:lang w:val="zh-CN"/>
        </w:rPr>
        <w:t xml:space="preserve">不能证明其报价合理性的，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auto"/>
          <w:sz w:val="24"/>
          <w:lang w:val="zh-CN"/>
        </w:rPr>
        <w:t xml:space="preserve">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采购产品被财政部、国家发改委、生态环境部等列入“节能产品品目清单”强制采购范围，而供应商提供的产品不在强制采购范围内的。</w:t>
      </w:r>
      <w:r>
        <w:rPr>
          <w:rFonts w:hint="eastAsia" w:ascii="宋体" w:hAnsi="宋体" w:eastAsia="宋体" w:cs="Times New Roman"/>
          <w:b/>
          <w:bCs/>
          <w:color w:val="000000"/>
          <w:sz w:val="24"/>
          <w:szCs w:val="21"/>
          <w:highlight w:val="none"/>
          <w:lang w:val="zh-CN" w:eastAsia="zh-CN"/>
        </w:rPr>
        <w:t xml:space="preserve">（产品如属于政府强制采购节能产品品目清单范围，响应文件中必须提供国家确定的认证机构出具的、处于有效期内的该节能产品认证证书）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响应文件未按照磋商文件要求加盖电子公章的。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46" w:name="_Toc20823306"/>
      <w:r/>
      <w:bookmarkStart w:id="147" w:name="_Toc513029234"/>
      <w:r/>
      <w:bookmarkStart w:id="148" w:name="_Toc16938550"/>
      <w:r>
        <w:rPr>
          <w:rFonts w:hint="eastAsia" w:ascii="宋体" w:hAnsi="宋体" w:eastAsia="宋体" w:cs="Times New Roman"/>
          <w:color w:val="000000"/>
          <w:sz w:val="24"/>
          <w:szCs w:val="21"/>
          <w:highlight w:val="none"/>
          <w:lang w:val="en-US" w:eastAsia="zh-CN"/>
        </w:rPr>
        <w:t xml:space="preserve">24.6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w:t>
      </w:r>
      <w:bookmarkEnd w:id="146"/>
      <w:r/>
      <w:bookmarkEnd w:id="147"/>
      <w:r/>
      <w:bookmarkEnd w:id="148"/>
      <w:r>
        <w:rPr>
          <w:rFonts w:hint="eastAsia" w:ascii="方正楷体_GBK" w:hAnsi="方正楷体_GBK" w:eastAsia="方正楷体_GBK" w:cs="方正楷体_GBK"/>
          <w:b/>
          <w:bCs/>
          <w:color w:val="000000"/>
          <w:sz w:val="28"/>
          <w:szCs w:val="28"/>
          <w:highlight w:val="none"/>
          <w:lang w:val="en-US" w:eastAsia="zh-CN"/>
        </w:rPr>
        <w:t xml:space="preserve">5.磋商程序及评审方法和评审标准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对于通过资格审查和符合性审查的供应商，磋商小组将集中与单一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_GB2312" w:hAnsi="仿宋_GB2312" w:eastAsia="仿宋_GB2312" w:cs="仿宋_GB2312"/>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t xml:space="preserve">2015</w:t>
      </w:r>
      <w:r>
        <w:rPr>
          <w:rFonts w:hint="eastAsia" w:ascii="仿宋_GB2312" w:hAnsi="仿宋_GB2312" w:eastAsia="仿宋_GB2312" w:cs="仿宋_GB2312"/>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t xml:space="preserve">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评审方法和评审标准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见本磋商文件第五章。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出现下列情形之一的，本次采购活动将被终止：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除本磋商文件第二章第25.1.2条第三款规定的情形外，采购过程中符合要求的供应商或者提交最后报价且未超过采购预算（最高限价）的供应商不足3家的。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在苏采云系统规定时间内成功解密电子响应文件的供应商不足3家的。</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9" w:name="_Toc120614219"/>
      <w:r/>
      <w:bookmarkStart w:id="150" w:name="_Toc20823307"/>
      <w:r/>
      <w:bookmarkStart w:id="151" w:name="_Toc16938551"/>
      <w:r/>
      <w:bookmarkStart w:id="152" w:name="_Toc513029235"/>
      <w:r>
        <w:rPr>
          <w:rFonts w:hint="eastAsia" w:ascii="方正黑体_GBK" w:hAnsi="方正黑体_GBK" w:eastAsia="方正黑体_GBK" w:cs="方正黑体_GBK"/>
          <w:b w:val="0"/>
          <w:bCs w:val="0"/>
          <w:color w:val="000000"/>
          <w:sz w:val="30"/>
          <w:szCs w:val="30"/>
          <w:highlight w:val="none"/>
        </w:rPr>
        <w:t xml:space="preserve">六、</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highlight w:val="none"/>
        </w:rPr>
        <w:t xml:space="preserve">成交</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53" w:name="_Toc513029238"/>
      <w:r/>
      <w:bookmarkStart w:id="154" w:name="_Toc20823310"/>
      <w:r/>
      <w:bookmarkStart w:id="155" w:name="_Toc16938554"/>
      <w:r>
        <w:rPr>
          <w:rFonts w:hint="eastAsia" w:ascii="方正楷体_GBK" w:hAnsi="方正楷体_GBK" w:eastAsia="方正楷体_GBK" w:cs="方正楷体_GBK"/>
          <w:b/>
          <w:bCs/>
          <w:color w:val="000000"/>
          <w:sz w:val="28"/>
          <w:szCs w:val="28"/>
          <w:highlight w:val="none"/>
          <w:lang w:val="en-US" w:eastAsia="zh-CN"/>
        </w:rPr>
        <w:t xml:space="preserve">2</w:t>
      </w:r>
      <w:bookmarkEnd w:id="153"/>
      <w:r>
        <w:rPr>
          <w:rFonts w:hint="eastAsia" w:ascii="方正楷体_GBK" w:hAnsi="方正楷体_GBK" w:eastAsia="方正楷体_GBK" w:cs="方正楷体_GBK"/>
          <w:b/>
          <w:bCs/>
          <w:color w:val="000000"/>
          <w:sz w:val="28"/>
          <w:szCs w:val="28"/>
          <w:highlight w:val="none"/>
          <w:lang w:val="en-US" w:eastAsia="zh-CN"/>
        </w:rPr>
        <w:t xml:space="preserve">6.确定</w:t>
      </w:r>
      <w:bookmarkEnd w:id="154"/>
      <w:r/>
      <w:bookmarkEnd w:id="155"/>
      <w:r>
        <w:rPr>
          <w:rFonts w:hint="eastAsia" w:ascii="方正楷体_GBK" w:hAnsi="方正楷体_GBK" w:eastAsia="方正楷体_GBK" w:cs="方正楷体_GBK"/>
          <w:b/>
          <w:bCs/>
          <w:color w:val="000000"/>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磋商小组根据综合评分情况，按照评审得分由高到低顺序推荐X名成交候选供应商，并编写评审报告。符合本磋商文件第二章第25.1.2条情形的，可以推荐2名成交候选供应商。评审得分相同的，按照最后报价由低到高的顺序推荐。评审得分且最后报价相同的，按照第五章“评审方法与评审标准”确定的顺序推荐。</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与评审专家、采购人、其他供应商或者交易中心工作人员恶意串通的。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向评审专家、采购人或交易中心工作人员行贿或者提供其他不正当利益的。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26.4.5成交后无正当理由拒不与采购人签订政府采购合同或者未按照磋商文件确定的事项签订政府采购合同的。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26.3.6 将合同标的转包的。</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56" w:name="_Toc200451960"/>
      <w:r/>
      <w:bookmarkStart w:id="157" w:name="_Toc16938558"/>
      <w:r/>
      <w:bookmarkStart w:id="158" w:name="_Toc120614221"/>
      <w:r/>
      <w:bookmarkStart w:id="159" w:name="_Toc513029242"/>
      <w:r/>
      <w:bookmarkStart w:id="160" w:name="_Toc20823314"/>
      <w:r/>
      <w:bookmarkStart w:id="161" w:name="_Toc479757207"/>
      <w:r>
        <w:rPr>
          <w:rFonts w:hint="eastAsia" w:ascii="方正楷体_GBK" w:hAnsi="方正楷体_GBK" w:eastAsia="方正楷体_GBK" w:cs="方正楷体_GBK"/>
          <w:b/>
          <w:bCs/>
          <w:color w:val="000000"/>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《成交通知书》将是合同的一个组成部分，对采购人和成交供应商均具有法律效力。《成交通知书》发出后，采购人改变成交结果的，或者成交供应商放弃成交项目的，应当依法承担法律责任。</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成交供应商可</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南京市公共资源交易中心网站“小企业融资平台”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p>
    <w:p>
      <w:pPr>
        <w:ind w:firstLine="42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bookmarkEnd w:id="156"/>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规定以书面形式向交易中心或采购人提出质疑。</w:t>
      </w:r>
      <w:r>
        <w:rPr>
          <w:rFonts w:hint="eastAsia" w:ascii="宋体" w:hAnsi="宋体" w:eastAsia="宋体" w:cs="Times New Roman"/>
          <w:b/>
          <w:bCs/>
          <w:color w:val="000000"/>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供应商如组成联合体参加磋商，《质疑函范本》中要求加盖公章之处，联合体各方均须按要求加盖公章。</w:t>
      </w:r>
      <w:r/>
    </w:p>
    <w:p>
      <w:pPr>
        <w:ind w:firstLine="420"/>
        <w:keepLines w:val="0"/>
        <w:keepNext w:val="0"/>
        <w:pageBreakBefore w:val="0"/>
        <w:spacing w:line="252"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供应商（含潜在供应商）对采购方式、采购需求、供应商资格条件及审查结果、评审方法和评审标准、合同文本的询问、质疑向采购人提出，由采购人负责答复。</w:t>
      </w:r>
      <w:r>
        <w:rPr>
          <w:rFonts w:hint="eastAsia" w:ascii="宋体" w:hAnsi="宋体" w:eastAsia="宋体" w:cs="Times New Roman"/>
          <w:color w:val="000000"/>
          <w:sz w:val="24"/>
          <w:highlight w:val="none"/>
          <w:lang w:val="zh-CN"/>
        </w:rPr>
        <w:t xml:space="preserve">供应商对除上述事项以外其他事项的询问、质疑向</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p>
    <w:p>
      <w:pPr>
        <w:ind w:firstLine="420"/>
        <w:pageBreakBefore w:val="0"/>
        <w:spacing w:line="288" w:lineRule="auto"/>
        <w:widowControl w:val="off"/>
        <w:rPr>
          <w:color w:val="000000"/>
          <w:highlight w:val="none"/>
          <w:lang w:val="zh-CN"/>
        </w:rPr>
      </w:pPr>
      <w:r>
        <w:rPr>
          <w:rFonts w:hint="eastAsia" w:ascii="宋体" w:hAnsi="宋体"/>
          <w:color w:val="000000"/>
          <w:sz w:val="24"/>
          <w:highlight w:val="none"/>
          <w:lang w:val="zh-CN"/>
        </w:rPr>
        <w:t xml:space="preserve">交易中心质疑接收部门为业务受理</w:t>
      </w:r>
      <w:r>
        <w:rPr>
          <w:rFonts w:hint="eastAsia" w:ascii="宋体" w:hAnsi="宋体"/>
          <w:color w:val="000000"/>
          <w:sz w:val="24"/>
          <w:highlight w:val="none"/>
          <w:lang w:val="en-US" w:eastAsia="zh-CN"/>
        </w:rPr>
        <w:t xml:space="preserve">科</w:t>
      </w:r>
      <w:r>
        <w:rPr>
          <w:rFonts w:hint="eastAsia" w:ascii="宋体" w:hAnsi="宋体"/>
          <w:color w:val="000000"/>
          <w:sz w:val="24"/>
          <w:highlight w:val="none"/>
          <w:lang w:val="zh-CN"/>
        </w:rPr>
        <w:t xml:space="preserve">（快递运单上的收件人填写“业务受理</w:t>
      </w:r>
      <w:r>
        <w:rPr>
          <w:rFonts w:hint="eastAsia" w:ascii="宋体" w:hAnsi="宋体"/>
          <w:color w:val="000000"/>
          <w:sz w:val="24"/>
          <w:highlight w:val="none"/>
          <w:lang w:val="en-US" w:eastAsia="zh-CN"/>
        </w:rPr>
        <w:t xml:space="preserve">科</w:t>
      </w:r>
      <w:r>
        <w:rPr>
          <w:rFonts w:hint="eastAsia" w:ascii="宋体" w:hAnsi="宋体"/>
          <w:color w:val="000000"/>
          <w:sz w:val="24"/>
          <w:highlight w:val="none"/>
          <w:lang w:val="zh-CN"/>
        </w:rPr>
        <w:t xml:space="preserve">”即可），联系地址：南京市</w:t>
      </w:r>
      <w:r>
        <w:rPr>
          <w:rFonts w:hint="eastAsia" w:ascii="宋体" w:hAnsi="宋体"/>
          <w:color w:val="000000"/>
          <w:sz w:val="24"/>
          <w:highlight w:val="none"/>
          <w:lang w:val="en-US" w:eastAsia="zh-CN"/>
        </w:rPr>
        <w:t xml:space="preserve">六合区雄州街道龙池路333号市民中心四楼</w:t>
      </w:r>
      <w:r>
        <w:rPr>
          <w:rFonts w:hint="eastAsia" w:ascii="宋体" w:hAnsi="宋体"/>
          <w:color w:val="000000"/>
          <w:sz w:val="24"/>
          <w:highlight w:val="none"/>
          <w:lang w:val="zh-CN"/>
        </w:rPr>
        <w:t xml:space="preserve">业务受理</w:t>
      </w:r>
      <w:r>
        <w:rPr>
          <w:rFonts w:hint="eastAsia" w:ascii="宋体" w:hAnsi="宋体"/>
          <w:color w:val="000000"/>
          <w:sz w:val="24"/>
          <w:highlight w:val="none"/>
          <w:lang w:val="en-US" w:eastAsia="zh-CN"/>
        </w:rPr>
        <w:t xml:space="preserve">科</w:t>
      </w:r>
      <w:r>
        <w:rPr>
          <w:rFonts w:hint="eastAsia" w:ascii="宋体" w:hAnsi="宋体"/>
          <w:color w:val="000000"/>
          <w:sz w:val="24"/>
          <w:highlight w:val="none"/>
          <w:lang w:val="zh-CN"/>
        </w:rPr>
        <w:t xml:space="preserve">，联系电话：025-</w:t>
      </w:r>
      <w:r>
        <w:rPr>
          <w:rFonts w:hint="eastAsia" w:ascii="宋体" w:hAnsi="宋体"/>
          <w:color w:val="000000"/>
          <w:sz w:val="24"/>
          <w:highlight w:val="none"/>
          <w:lang w:val="en-US" w:eastAsia="zh-CN"/>
        </w:rPr>
        <w:t xml:space="preserve">57130508</w:t>
      </w:r>
      <w:r>
        <w:rPr>
          <w:rFonts w:hint="eastAsia" w:ascii="宋体" w:hAnsi="宋体"/>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未参加磋商活动的供应商或在磋商活动中自身权益未受到损害的供应商所提出的质疑。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供应商组成联合体参加磋商，联合体中任何一方或多方未按要求签字</w:t>
      </w:r>
      <w:r>
        <w:rPr>
          <w:rFonts w:hint="eastAsia" w:ascii="宋体" w:hAnsi="宋体" w:eastAsia="宋体" w:cs="Times New Roman"/>
          <w:color w:val="000000"/>
          <w:sz w:val="24"/>
          <w:highlight w:val="none"/>
          <w:lang w:val="en-US" w:eastAsia="zh-CN"/>
        </w:rPr>
        <w:t xml:space="preserve">或签</w:t>
      </w:r>
      <w:r>
        <w:rPr>
          <w:rFonts w:hint="eastAsia" w:ascii="宋体" w:hAnsi="宋体" w:eastAsia="宋体" w:cs="Times New Roman"/>
          <w:color w:val="000000"/>
          <w:sz w:val="24"/>
          <w:highlight w:val="none"/>
          <w:lang w:val="zh-CN"/>
        </w:rPr>
        <w:t xml:space="preserve">章、加盖公章的质疑。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p>
    <w:p>
      <w:pPr>
        <w:pStyle w:val="90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907"/>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zh-CN"/>
        </w:rPr>
        <w:t xml:space="preserve">在政府采购活动中，供应商提供的货物或者服务符合下列情形的，享受中小企业扶持政策：</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（1）在货物</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rPr>
        <w:t xml:space="preserve">项目中，</w:t>
      </w:r>
      <w:r>
        <w:rPr>
          <w:rFonts w:hint="eastAsia" w:ascii="宋体" w:hAnsi="宋体" w:eastAsia="宋体" w:cs="Times New Roman"/>
          <w:color w:val="000000"/>
          <w:sz w:val="24"/>
          <w:highlight w:val="none"/>
          <w:lang w:val="en-US" w:eastAsia="zh-CN"/>
        </w:rPr>
        <w:t xml:space="preserve">全部</w:t>
      </w:r>
      <w:r>
        <w:rPr>
          <w:rFonts w:hint="eastAsia" w:ascii="宋体" w:hAnsi="宋体" w:eastAsia="宋体" w:cs="Times New Roman"/>
          <w:color w:val="000000"/>
          <w:sz w:val="24"/>
          <w:highlight w:val="none"/>
          <w:lang w:val="zh-CN"/>
        </w:rPr>
        <w:t xml:space="preserve">货物由中小企业制造；</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（2）在服务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rPr>
        <w:t xml:space="preserve">项目中，服务由中小企业承接。</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p>
    <w:p>
      <w:pPr>
        <w:pStyle w:val="730"/>
        <w:ind w:left="0"/>
        <w:rPr>
          <w:rFonts w:hint="eastAsia"/>
          <w:color w:val="000000"/>
          <w:highlight w:val="none"/>
          <w:lang w:val="zh-CN"/>
        </w:rPr>
      </w:pPr>
      <w:r>
        <w:rPr>
          <w:rFonts w:hint="eastAsia"/>
          <w:color w:val="000000"/>
          <w:highlight w:val="none"/>
          <w:lang w:val="zh-CN"/>
        </w:rPr>
      </w:r>
      <w:r/>
    </w:p>
    <w:p>
      <w:pPr>
        <w:pStyle w:val="730"/>
        <w:ind w:left="0"/>
        <w:rPr>
          <w:rFonts w:hint="eastAsia"/>
          <w:color w:val="000000"/>
          <w:highlight w:val="none"/>
          <w:lang w:val="zh-CN"/>
        </w:rPr>
      </w:pPr>
      <w:r>
        <w:rPr>
          <w:rFonts w:hint="eastAsia"/>
          <w:color w:val="000000"/>
          <w:highlight w:val="none"/>
          <w:lang w:val="zh-CN"/>
        </w:rPr>
      </w:r>
      <w:r/>
    </w:p>
    <w:p>
      <w:pPr>
        <w:pStyle w:val="730"/>
        <w:ind w:left="0"/>
        <w:rPr>
          <w:rFonts w:hint="eastAsia"/>
          <w:color w:val="000000"/>
          <w:highlight w:val="none"/>
          <w:lang w:val="zh-CN"/>
        </w:rPr>
      </w:pPr>
      <w:r>
        <w:rPr>
          <w:rFonts w:hint="eastAsia"/>
          <w:color w:val="000000"/>
          <w:highlight w:val="none"/>
          <w:lang w:val="zh-CN"/>
        </w:rPr>
      </w:r>
      <w:r/>
    </w:p>
    <w:p>
      <w:pPr>
        <w:pStyle w:val="730"/>
        <w:ind w:left="0"/>
        <w:rPr>
          <w:rFonts w:hint="eastAsia"/>
          <w:color w:val="000000"/>
          <w:highlight w:val="none"/>
          <w:lang w:val="zh-CN"/>
        </w:rPr>
      </w:pPr>
      <w:r>
        <w:rPr>
          <w:rFonts w:hint="eastAsia"/>
          <w:color w:val="000000"/>
          <w:highlight w:val="none"/>
          <w:lang w:val="zh-CN"/>
        </w:rPr>
      </w:r>
      <w:r/>
    </w:p>
    <w:p>
      <w:pPr>
        <w:pStyle w:val="730"/>
        <w:ind w:left="0"/>
        <w:rPr>
          <w:rFonts w:hint="eastAsia"/>
          <w:color w:val="000000"/>
          <w:highlight w:val="none"/>
          <w:lang w:val="zh-CN"/>
        </w:rPr>
      </w:pPr>
      <w:r>
        <w:rPr>
          <w:rFonts w:hint="eastAsia"/>
          <w:color w:val="000000"/>
          <w:highlight w:val="none"/>
          <w:lang w:val="zh-CN"/>
        </w:rPr>
      </w:r>
      <w:r/>
    </w:p>
    <w:p>
      <w:pPr>
        <w:pStyle w:val="73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73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730"/>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730"/>
        <w:rPr>
          <w:rFonts w:hint="eastAsia"/>
          <w:color w:val="000000"/>
          <w:highlight w:val="none"/>
          <w:lang w:val="en-US"/>
        </w:rPr>
      </w:pPr>
      <w:r>
        <w:rPr>
          <w:rFonts w:hint="eastAsia"/>
          <w:color w:val="000000"/>
          <w:highlight w:val="none"/>
          <w:lang w:val="en-US"/>
        </w:rPr>
      </w:r>
      <w:r/>
    </w:p>
    <w:p>
      <w:pPr>
        <w:pStyle w:val="730"/>
        <w:ind w:left="0" w:firstLine="0"/>
        <w:jc w:val="both"/>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73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pStyle w:val="73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57"/>
      <w:r/>
      <w:bookmarkEnd w:id="158"/>
      <w:r/>
      <w:bookmarkEnd w:id="159"/>
      <w:r/>
      <w:bookmarkEnd w:id="160"/>
      <w:r/>
      <w:bookmarkEnd w:id="161"/>
      <w:r>
        <w:rPr>
          <w:rFonts w:hint="eastAsia" w:ascii="方正小标宋简体" w:hAnsi="方正小标宋简体" w:eastAsia="方正小标宋简体" w:cs="方正小标宋简体"/>
          <w:color w:val="000000"/>
          <w:sz w:val="36"/>
          <w:szCs w:val="36"/>
          <w:highlight w:val="none"/>
          <w:lang w:val="en-US"/>
        </w:rPr>
        <w:t xml:space="preserve">文本</w:t>
      </w:r>
      <w:r/>
    </w:p>
    <w:p>
      <w:pPr>
        <w:jc w:val="center"/>
        <w:keepLines w:val="0"/>
        <w:keepNext w:val="0"/>
        <w:pageBreakBefore w:val="0"/>
        <w:spacing w:before="145" w:after="145" w:line="288" w:lineRule="auto"/>
        <w:widowControl w:val="off"/>
        <w:rPr>
          <w:rFonts w:hint="eastAsia" w:ascii="宋体" w:hAnsi="宋体"/>
          <w:bCs/>
          <w:color w:val="000000"/>
          <w:sz w:val="24"/>
          <w:szCs w:val="21"/>
          <w:highlight w:val="none"/>
          <w:lang w:eastAsia="zh-CN"/>
        </w:rPr>
        <w:outlineLvl w:val="0"/>
      </w:pPr>
      <w:r/>
      <w:bookmarkStart w:id="162" w:name="_Hlt16619369"/>
      <w:r/>
      <w:bookmarkEnd w:id="162"/>
      <w:r/>
      <w:bookmarkStart w:id="163" w:name="_Toc20823315"/>
      <w:r/>
      <w:bookmarkStart w:id="164" w:name="_Toc513029243"/>
      <w:r/>
      <w:bookmarkStart w:id="165" w:name="_Toc16938559"/>
      <w:r/>
      <w:bookmarkStart w:id="166" w:name="_Hlt16619350"/>
      <w:r/>
      <w:bookmarkStart w:id="167" w:name="_Toc20823346"/>
      <w:r/>
      <w:bookmarkStart w:id="168" w:name="_Toc16938590"/>
      <w:r/>
      <w:bookmarkStart w:id="169" w:name="_Toc120614244"/>
      <w:r/>
      <w:bookmarkStart w:id="170" w:name="_Toc479757211"/>
      <w:r/>
      <w:bookmarkStart w:id="171"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p>
    <w:p>
      <w:pPr>
        <w:pStyle w:val="730"/>
        <w:ind w:left="0" w:firstLine="0"/>
        <w:keepLines w:val="0"/>
        <w:keepNext w:val="0"/>
        <w:pageBreakBefore w:val="0"/>
        <w:spacing w:line="288" w:lineRule="auto"/>
        <w:widowControl w:val="off"/>
        <w:rPr>
          <w:rFonts w:hint="eastAsia"/>
          <w:color w:val="000000"/>
          <w:highlight w:val="none"/>
          <w:lang w:eastAsia="zh-CN"/>
        </w:rPr>
      </w:pPr>
      <w:r>
        <w:rPr>
          <w:rFonts w:hint="eastAsia"/>
          <w:color w:val="000000"/>
          <w:highlight w:val="none"/>
          <w:lang w:eastAsia="zh-CN"/>
        </w:rPr>
      </w:r>
      <w:r/>
    </w:p>
    <w:p>
      <w:pPr>
        <w:jc w:val="center"/>
        <w:keepLines w:val="0"/>
        <w:keepNext w:val="0"/>
        <w:pageBreakBefore w:val="0"/>
        <w:spacing w:before="145" w:after="145" w:line="288" w:lineRule="auto"/>
        <w:widowControl w:val="off"/>
        <w:rPr>
          <w:rFonts w:hint="eastAsia" w:ascii="方正小标宋简体" w:hAnsi="方正小标宋简体" w:eastAsia="方正小标宋简体" w:cs="方正小标宋简体"/>
          <w:b w:val="0"/>
          <w:bCs/>
          <w:color w:val="000000"/>
          <w:sz w:val="32"/>
          <w:szCs w:val="32"/>
          <w:highlight w:val="none"/>
        </w:rPr>
        <w:outlineLvl w:val="0"/>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p>
    <w:p>
      <w:pPr>
        <w:jc w:val="left"/>
        <w:keepLines w:val="0"/>
        <w:keepNext w:val="0"/>
        <w:pageBreakBefore w:val="0"/>
        <w:spacing w:before="145" w:after="145" w:line="288" w:lineRule="auto"/>
        <w:widowControl w:val="off"/>
        <w:rPr>
          <w:rFonts w:ascii="宋体" w:hAnsi="宋体" w:eastAsia="宋体" w:cs="Courier New"/>
          <w:b w:val="0"/>
          <w:bCs w:val="0"/>
          <w:color w:val="000000"/>
          <w:sz w:val="24"/>
          <w:szCs w:val="24"/>
          <w:highlight w:val="none"/>
        </w:rPr>
        <w:outlineLvl w:val="0"/>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88"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88"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88"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88"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lang w:val="en-US" w:eastAsia="zh-CN"/>
        </w:rPr>
        <w:t xml:space="preserve">六合分中心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88"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p>
    <w:p>
      <w:pPr>
        <w:keepLines w:val="0"/>
        <w:keepNext w:val="0"/>
        <w:pageBreakBefore w:val="0"/>
        <w:spacing w:before="0" w:after="0" w:line="288"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履行时间（期限）：自合同签订之日起为期一年。</w:t>
      </w:r>
      <w:r>
        <w:rPr>
          <w:rFonts w:hint="eastAsia" w:ascii="宋体" w:hAnsi="宋体" w:cs="Courier New"/>
          <w:color w:val="000000"/>
          <w:sz w:val="24"/>
          <w:szCs w:val="24"/>
        </w:rPr>
        <w:t xml:space="preserve">合同期满后，采购人有权根据供应商的履约情况和相关政策决定是否与中标供应商签订后续服务合同或另行采购，续签合同期限一年，续签</w:t>
      </w:r>
      <w:r>
        <w:rPr>
          <w:rFonts w:hint="eastAsia" w:ascii="宋体" w:hAnsi="宋体" w:cs="Courier New"/>
          <w:color w:val="000000"/>
          <w:sz w:val="24"/>
          <w:szCs w:val="24"/>
          <w:lang w:val="en-US" w:eastAsia="zh-CN"/>
        </w:rPr>
        <w:t xml:space="preserve">一</w:t>
      </w:r>
      <w:r>
        <w:rPr>
          <w:rFonts w:hint="eastAsia" w:ascii="宋体" w:hAnsi="宋体" w:cs="Courier New"/>
          <w:color w:val="000000"/>
          <w:sz w:val="24"/>
          <w:szCs w:val="24"/>
        </w:rPr>
        <w:t xml:space="preserve">次</w:t>
      </w:r>
      <w:r>
        <w:rPr>
          <w:rFonts w:hint="eastAsia" w:ascii="宋体" w:hAnsi="宋体" w:cs="Courier New"/>
          <w:color w:val="000000"/>
          <w:sz w:val="24"/>
          <w:szCs w:val="24"/>
          <w:lang w:eastAsia="zh-CN"/>
        </w:rPr>
        <w:t xml:space="preserve">。</w:t>
      </w:r>
      <w:r/>
    </w:p>
    <w:p>
      <w:pPr>
        <w:keepLines w:val="0"/>
        <w:keepNext w:val="0"/>
        <w:pageBreakBefore w:val="0"/>
        <w:spacing w:before="0" w:after="0" w:line="288" w:lineRule="auto"/>
        <w:widowControl w:val="off"/>
        <w:rPr>
          <w:rFonts w:ascii="宋体" w:hAnsi="宋体" w:eastAsia="宋体" w:cs="Courier New"/>
          <w:color w:val="000000"/>
          <w:sz w:val="24"/>
          <w:szCs w:val="24"/>
          <w:highlight w:val="none"/>
          <w:lang w:val="en-US"/>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943"/>
        <w:keepLines w:val="0"/>
        <w:keepNext w:val="0"/>
        <w:pageBreakBefore w:val="0"/>
        <w:spacing w:before="0" w:after="0" w:line="288"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本合同金额为（大写）：________________圆（____________________元）人民币。</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88"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943"/>
        <w:keepLines w:val="0"/>
        <w:keepNext w:val="0"/>
        <w:pageBreakBefore w:val="0"/>
        <w:spacing w:before="0" w:after="0" w:line="288"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甲方于合同签订后</w:t>
      </w:r>
      <w:r>
        <w:rPr>
          <w:rFonts w:hint="eastAsia" w:ascii="宋体"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合同款</w:t>
      </w:r>
      <w:r>
        <w:rPr>
          <w:rFonts w:hint="eastAsia" w:ascii="宋体" w:hAnsi="宋体" w:cs="Courier New"/>
          <w:color w:val="000000"/>
          <w:sz w:val="24"/>
          <w:szCs w:val="24"/>
          <w:highlight w:val="none"/>
          <w:lang w:val="en-US" w:eastAsia="zh-CN"/>
        </w:rPr>
        <w:t xml:space="preserve">按季支付</w:t>
      </w:r>
      <w:r>
        <w:rPr>
          <w:rFonts w:hint="eastAsia" w:ascii="宋体" w:hAnsi="宋体" w:eastAsia="宋体" w:cs="Courier New"/>
          <w:color w:val="000000"/>
          <w:sz w:val="24"/>
          <w:szCs w:val="24"/>
          <w:highlight w:val="none"/>
          <w:lang w:val="en-US" w:eastAsia="zh-CN"/>
        </w:rPr>
        <w:t xml:space="preserve">。</w:t>
      </w:r>
      <w:r/>
    </w:p>
    <w:p>
      <w:pPr>
        <w:spacing w:line="288"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p>
    <w:p>
      <w:pPr>
        <w:pStyle w:val="943"/>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p>
    <w:p>
      <w:pPr>
        <w:keepLines w:val="0"/>
        <w:keepNext w:val="0"/>
        <w:pageBreakBefore w:val="0"/>
        <w:spacing w:before="0" w:after="0" w:line="288"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p>
    <w:p>
      <w:pPr>
        <w:keepLines w:val="0"/>
        <w:keepNext w:val="0"/>
        <w:pageBreakBefore w:val="0"/>
        <w:spacing w:before="0" w:after="0" w:line="288"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p>
    <w:p>
      <w:pPr>
        <w:keepLines w:val="0"/>
        <w:keepNext w:val="0"/>
        <w:pageBreakBefore w:val="0"/>
        <w:spacing w:before="0" w:after="0" w:line="288"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88"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88"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p>
    <w:p>
      <w:pPr>
        <w:pStyle w:val="943"/>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bookmarkEnd w:id="163"/>
      <w:r/>
      <w:bookmarkEnd w:id="164"/>
      <w:r/>
      <w:bookmarkEnd w:id="165"/>
      <w:r/>
      <w:r/>
    </w:p>
    <w:p>
      <w:pPr>
        <w:pStyle w:val="943"/>
        <w:ind w:firstLine="240"/>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p>
    <w:p>
      <w:pPr>
        <w:pStyle w:val="943"/>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p>
    <w:p>
      <w:pPr>
        <w:pStyle w:val="943"/>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p>
    <w:p>
      <w:pPr>
        <w:pStyle w:val="943"/>
        <w:ind w:firstLine="240"/>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p>
    <w:p>
      <w:pPr>
        <w:pStyle w:val="943"/>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943"/>
        <w:ind w:firstLine="5280"/>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年    月   日</w:t>
      </w:r>
      <w:r/>
    </w:p>
    <w:p>
      <w:pPr>
        <w:pStyle w:val="943"/>
        <w:ind w:firstLine="4800"/>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43"/>
        <w:ind w:firstLine="4800"/>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43"/>
        <w:ind w:firstLine="4800"/>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43"/>
        <w:ind w:firstLine="4800"/>
        <w:keepLines w:val="0"/>
        <w:keepNext w:val="0"/>
        <w:pageBreakBefore w:val="0"/>
        <w:spacing w:before="120" w:after="120" w:line="288"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jc w:val="center"/>
        <w:keepLines w:val="0"/>
        <w:keepNext w:val="0"/>
        <w:pageBreakBefore w:val="0"/>
        <w:spacing w:before="145" w:after="145" w:line="288" w:lineRule="auto"/>
        <w:widowControl w:val="off"/>
        <w:rPr>
          <w:rFonts w:hint="eastAsia" w:ascii="宋体" w:hAnsi="宋体" w:eastAsia="宋体" w:cs="Times New Roman"/>
          <w:b/>
          <w:bCs w:val="0"/>
          <w:color w:val="000000"/>
          <w:sz w:val="30"/>
          <w:szCs w:val="21"/>
          <w:highlight w:val="none"/>
        </w:rPr>
        <w:outlineLvl w:val="0"/>
      </w:pPr>
      <w:r>
        <w:rPr>
          <w:rFonts w:hint="eastAsia" w:ascii="宋体" w:hAnsi="宋体" w:eastAsia="宋体" w:cs="Times New Roman"/>
          <w:b/>
          <w:bCs w:val="0"/>
          <w:color w:val="000000"/>
          <w:sz w:val="30"/>
          <w:szCs w:val="21"/>
          <w:highlight w:val="none"/>
        </w:rPr>
        <w:t xml:space="preserve">《</w:t>
      </w:r>
      <w:r>
        <w:rPr>
          <w:rFonts w:hint="eastAsia" w:ascii="宋体" w:hAnsi="宋体" w:cs="Times New Roman"/>
          <w:b/>
          <w:bCs w:val="0"/>
          <w:color w:val="000000"/>
          <w:sz w:val="30"/>
          <w:szCs w:val="21"/>
          <w:highlight w:val="none"/>
          <w:lang w:eastAsia="zh-CN"/>
        </w:rPr>
        <w:t xml:space="preserve">雄州街道老旧小区物业管理市场化服务</w:t>
      </w:r>
      <w:r>
        <w:rPr>
          <w:rFonts w:hint="eastAsia" w:ascii="宋体" w:hAnsi="宋体" w:eastAsia="宋体" w:cs="Times New Roman"/>
          <w:b/>
          <w:bCs w:val="0"/>
          <w:color w:val="000000"/>
          <w:sz w:val="30"/>
          <w:szCs w:val="21"/>
          <w:highlight w:val="none"/>
        </w:rPr>
        <w:t xml:space="preserve">合同》补充协议（合同附件）</w:t>
      </w:r>
      <w:r/>
    </w:p>
    <w:p>
      <w:pPr>
        <w:jc w:val="center"/>
        <w:spacing w:beforeAutospacing="1"/>
        <w:widowControl/>
        <w:rPr>
          <w:rFonts w:hint="eastAsia" w:ascii="宋体" w:hAnsi="宋体" w:eastAsia="宋体" w:cs="宋体"/>
          <w:color w:val="000000"/>
          <w:sz w:val="24"/>
          <w:szCs w:val="24"/>
          <w:highlight w:val="none"/>
          <w:lang w:eastAsia="zh-CN"/>
        </w:rPr>
      </w:pPr>
      <w:r>
        <w:rPr>
          <w:rFonts w:hint="eastAsia" w:hAnsi="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雄州街道老旧小区物业管理市场化服务</w:t>
      </w:r>
      <w:r/>
    </w:p>
    <w:p>
      <w:pPr>
        <w:jc w:val="center"/>
        <w:spacing w:beforeAutospacing="1"/>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二〇二</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年   月</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1680" w:firstLine="240"/>
        <w:spacing w:beforeAutospacing="1"/>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1680" w:firstLine="24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1680" w:firstLine="24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住所地：</w:t>
      </w:r>
      <w:r>
        <w:rPr>
          <w:rFonts w:hint="eastAsia" w:ascii="宋体" w:hAnsi="宋体" w:eastAsia="宋体" w:cs="宋体"/>
          <w:color w:val="000000"/>
          <w:sz w:val="24"/>
          <w:szCs w:val="24"/>
          <w:highlight w:val="none"/>
          <w:u w:val="single"/>
        </w:rPr>
        <w:t xml:space="preserve">                                   ；</w:t>
      </w:r>
      <w:r/>
    </w:p>
    <w:p>
      <w:pPr>
        <w:ind w:left="1680" w:firstLine="24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p>
    <w:p>
      <w:pPr>
        <w:ind w:left="1680" w:firstLine="240"/>
        <w:spacing w:beforeAutospacing="1"/>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1680" w:firstLine="24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1680" w:firstLine="24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1680" w:firstLine="24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   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jc w:val="left"/>
        <w:spacing w:beforeAutospacing="1"/>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bidi="zh-CN"/>
        </w:rPr>
        <w:t xml:space="preserve">根据《</w:t>
      </w:r>
      <w:r>
        <w:rPr>
          <w:rFonts w:hint="eastAsia" w:ascii="宋体" w:hAnsi="宋体" w:eastAsia="宋体" w:cs="宋体"/>
          <w:color w:val="000000"/>
          <w:sz w:val="24"/>
          <w:szCs w:val="24"/>
          <w:highlight w:val="none"/>
          <w:lang w:bidi="zh-CN"/>
        </w:rPr>
        <w:t xml:space="preserve">民法典</w:t>
      </w:r>
      <w:r>
        <w:rPr>
          <w:rFonts w:hint="eastAsia" w:ascii="宋体" w:hAnsi="宋体" w:eastAsia="宋体" w:cs="宋体"/>
          <w:color w:val="000000"/>
          <w:sz w:val="24"/>
          <w:szCs w:val="24"/>
          <w:highlight w:val="none"/>
          <w:lang w:val="zh-CN" w:bidi="zh-CN"/>
        </w:rPr>
        <w:t xml:space="preserve">》《物业管理条例》《江苏省物业管理条例》《南京市</w:t>
      </w:r>
      <w:r>
        <w:rPr>
          <w:rFonts w:hint="eastAsia" w:ascii="宋体" w:hAnsi="宋体" w:eastAsia="宋体" w:cs="宋体"/>
          <w:color w:val="000000"/>
          <w:sz w:val="24"/>
          <w:szCs w:val="24"/>
          <w:highlight w:val="none"/>
          <w:lang w:bidi="zh-CN"/>
        </w:rPr>
        <w:t xml:space="preserve">住宅物业管理条例</w:t>
      </w:r>
      <w:r>
        <w:rPr>
          <w:rFonts w:hint="eastAsia" w:ascii="宋体" w:hAnsi="宋体" w:eastAsia="宋体" w:cs="宋体"/>
          <w:color w:val="000000"/>
          <w:sz w:val="24"/>
          <w:szCs w:val="24"/>
          <w:highlight w:val="none"/>
          <w:lang w:val="zh-CN" w:bidi="zh-CN"/>
        </w:rPr>
        <w:t xml:space="preserve">》和相关法律法规、规定，甲乙双方在自愿、平等、协商一致的基础上，就甲方选聘乙方对</w:t>
      </w:r>
      <w:r>
        <w:rPr>
          <w:rFonts w:hint="eastAsia" w:ascii="宋体" w:hAnsi="宋体" w:eastAsia="宋体" w:cs="宋体"/>
          <w:color w:val="000000"/>
          <w:sz w:val="24"/>
          <w:szCs w:val="24"/>
          <w:highlight w:val="none"/>
          <w:u w:val="single"/>
          <w:lang w:val="en-US" w:bidi="zh-CN"/>
        </w:rPr>
        <w:t xml:space="preserve">        </w:t>
      </w:r>
      <w:r>
        <w:rPr>
          <w:rFonts w:hint="eastAsia" w:ascii="宋体" w:hAnsi="宋体" w:eastAsia="宋体" w:cs="宋体"/>
          <w:b/>
          <w:bCs/>
          <w:color w:val="000000"/>
          <w:sz w:val="24"/>
          <w:szCs w:val="24"/>
          <w:highlight w:val="none"/>
          <w:u w:val="single"/>
          <w:lang w:val="en-US" w:bidi="zh-CN"/>
        </w:rPr>
        <w:t xml:space="preserve">                   </w:t>
      </w:r>
      <w:r>
        <w:rPr>
          <w:rFonts w:hint="eastAsia" w:ascii="宋体" w:hAnsi="宋体" w:eastAsia="宋体" w:cs="宋体"/>
          <w:color w:val="000000"/>
          <w:sz w:val="24"/>
          <w:szCs w:val="24"/>
          <w:highlight w:val="none"/>
          <w:lang w:val="zh-CN" w:bidi="zh-CN"/>
        </w:rPr>
        <w:t xml:space="preserve">提供物业管理服务事宜，订立本合同。</w:t>
      </w:r>
      <w:r/>
    </w:p>
    <w:p>
      <w:pPr>
        <w:numPr>
          <w:ilvl w:val="0"/>
          <w:numId w:val="5"/>
        </w:numPr>
        <w:jc w:val="cente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物业基本情况</w:t>
      </w:r>
      <w:r/>
    </w:p>
    <w:p>
      <w:pP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物业基本情况</w:t>
      </w:r>
      <w:r/>
    </w:p>
    <w:p>
      <w:pPr>
        <w:numPr>
          <w:ilvl w:val="3"/>
          <w:numId w:val="0"/>
        </w:numPr>
        <w:ind w:left="42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numPr>
          <w:ilvl w:val="3"/>
          <w:numId w:val="0"/>
        </w:numPr>
        <w:ind w:left="42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物业类型：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numPr>
          <w:ilvl w:val="3"/>
          <w:numId w:val="0"/>
        </w:numPr>
        <w:ind w:left="42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坐落</w:t>
      </w: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numPr>
          <w:ilvl w:val="3"/>
          <w:numId w:val="0"/>
        </w:numPr>
        <w:ind w:left="1470" w:hanging="1050"/>
        <w:spacing w:beforeAutospacing="1"/>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占地面积：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numPr>
          <w:ilvl w:val="3"/>
          <w:numId w:val="0"/>
        </w:numPr>
        <w:ind w:left="1470" w:hanging="1050"/>
        <w:spacing w:beforeAutospacing="1"/>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建筑面积：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42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物业管理区域四至：</w:t>
      </w:r>
      <w:r>
        <w:rPr>
          <w:rFonts w:hint="eastAsia" w:ascii="宋体" w:hAnsi="宋体" w:eastAsia="宋体" w:cs="宋体"/>
          <w:color w:val="000000"/>
          <w:sz w:val="24"/>
          <w:szCs w:val="24"/>
          <w:highlight w:val="none"/>
          <w:u w:val="single"/>
        </w:rPr>
        <w:t xml:space="preserve">                                 </w:t>
      </w:r>
      <w:r/>
    </w:p>
    <w:p>
      <w:pPr>
        <w:ind w:left="63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63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63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西至：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63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北至：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numPr>
          <w:ilvl w:val="0"/>
          <w:numId w:val="5"/>
        </w:numPr>
        <w:jc w:val="cente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服务内容与质量</w:t>
      </w:r>
      <w:r/>
    </w:p>
    <w:p>
      <w:pPr>
        <w:numPr>
          <w:ilvl w:val="0"/>
          <w:numId w:val="6"/>
        </w:numP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服务内容</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在物业管理区域内，乙方提供的前期物业管理服务包括以下内容：</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物业管理区域公共部位、公用设施设备日常维修费（单次单项维修材料费300元以下的）；</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物业共用部位和相关场地的清洁卫生；</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公共绿化的养护服务；</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车辆停放管理服务；</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公共秩序维护、安全防范、消防等事项的协助管理；</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装饰装修管理服务；</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物业档案资料管理；</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日常业主公共事务管理、协调；</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负责物业范围内扫雪防冻、防台等自然灾害预防和处理工作；</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配合甲方做好文明城市创建、12345投诉处理、信访回复等工作；</w:t>
      </w:r>
      <w:r/>
    </w:p>
    <w:p>
      <w:pPr>
        <w:numPr>
          <w:ilvl w:val="0"/>
          <w:numId w:val="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其他应由物业公司负责的服务管理服务工作。 </w:t>
      </w:r>
      <w:r/>
    </w:p>
    <w:p>
      <w:pPr>
        <w:numPr>
          <w:ilvl w:val="0"/>
          <w:numId w:val="6"/>
        </w:numP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特约服务</w:t>
      </w:r>
      <w:r/>
    </w:p>
    <w:p>
      <w:pPr>
        <w:spacing w:beforeAutospacing="1"/>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在物业管理区域内，乙方接受业主委托的其他特约性服务有：</w:t>
      </w:r>
      <w:r/>
    </w:p>
    <w:p>
      <w:pPr>
        <w:numPr>
          <w:ilvl w:val="0"/>
          <w:numId w:val="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numPr>
          <w:ilvl w:val="0"/>
          <w:numId w:val="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numPr>
          <w:ilvl w:val="0"/>
          <w:numId w:val="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numPr>
          <w:ilvl w:val="0"/>
          <w:numId w:val="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numPr>
          <w:ilvl w:val="0"/>
          <w:numId w:val="9"/>
        </w:numP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服务质量标准</w:t>
      </w:r>
      <w:r/>
    </w:p>
    <w:p>
      <w:pP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乙方提供的物业管理服务质量应达到约定的质量标准为三级标准。</w:t>
      </w:r>
      <w:r/>
    </w:p>
    <w:p>
      <w:pPr>
        <w:spacing w:beforeAutospacing="1"/>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第五条  物业管理用房 </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协调开发建设方无偿提供具有产权的、能够直接投入使用的物业管理用房（不含设备用房）。物业管理用房属全体业主共有，乙方在本合同期限内无偿使用，但不得改变其用途，不得对外出租，如有违反上述规定的，甲方可酌情核减乙方的物业管理费用；情节严重的，甲方将直接无条件终止物业管理合同。</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物业管理用房位于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jc w:val="center"/>
        <w:spacing w:beforeAutospacing="1"/>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第三章   服务时间和服务费用</w:t>
      </w:r>
      <w:r/>
    </w:p>
    <w:p>
      <w:pPr>
        <w:spacing w:beforeAutospacing="1"/>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第六条  合同期限</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1、物业服务中标期限，合同期 。</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2、前三个月为试用期，自至，试用期内按照甲方的考核办法每月对乙方进行考核。考核不合格的，甲方向乙方发出书面撤场通知书，乙方需在7个工作日内无条件退场，并做好现场资料物品交接等工作。</w:t>
      </w:r>
      <w:r/>
    </w:p>
    <w:p>
      <w:pPr>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试用期满并考核合格后，如甲方对乙方日常物业工作考核情况总分低于70分时，甲方有权单方面终止合同，甲方不承担任何违约责任和赔偿责任，乙方必须无条件在甲方指定期限内退场，并提供一个月的过渡期服务。新的物业公司进驻，乙方无条件撤出并完成交接。</w:t>
      </w:r>
      <w:r/>
    </w:p>
    <w:p>
      <w:pPr>
        <w:numPr>
          <w:ilvl w:val="0"/>
          <w:numId w:val="10"/>
        </w:numP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物业服务费用及支付方式</w:t>
      </w:r>
      <w:r/>
    </w:p>
    <w:p>
      <w:p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本合同约定的物业管理服务费实行以下包干制方式：</w:t>
      </w:r>
      <w:r/>
    </w:p>
    <w:p>
      <w:pPr>
        <w:ind w:firstLine="420"/>
        <w:spacing w:beforeAutospacing="1"/>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1、在本合同期限内，甲方同意向乙方支付的物业管理服务费的标准为：</w:t>
      </w:r>
      <w:r/>
    </w:p>
    <w:p>
      <w:pPr>
        <w:ind w:left="842"/>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物业管理服务费共计：人民币（大写）</w:t>
      </w:r>
      <w:r>
        <w:rPr>
          <w:rFonts w:hint="eastAsia" w:ascii="宋体" w:hAnsi="宋体" w:eastAsia="宋体" w:cs="宋体"/>
          <w:b/>
          <w:color w:val="000000"/>
          <w:sz w:val="24"/>
          <w:szCs w:val="24"/>
          <w:highlight w:val="none"/>
          <w:u w:val="single"/>
        </w:rPr>
        <w:t xml:space="preserve">        （¥      元）</w:t>
      </w:r>
      <w:r>
        <w:rPr>
          <w:rFonts w:hint="eastAsia" w:ascii="宋体" w:hAnsi="宋体" w:eastAsia="宋体" w:cs="宋体"/>
          <w:b/>
          <w:color w:val="000000"/>
          <w:sz w:val="24"/>
          <w:szCs w:val="24"/>
          <w:highlight w:val="none"/>
        </w:rPr>
        <w:t xml:space="preserve">。</w:t>
      </w:r>
      <w:r/>
    </w:p>
    <w:p>
      <w:pPr>
        <w:ind w:firstLine="416"/>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2、本合同约定的物业管理服务费用主要包含以下内容：</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管理服务人员的工资、社会保险和按规定提取的福利费等；</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物业管理区域清洁卫生费用(含垃圾分类管理）；</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物业管理区域秩序维护费用；</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物业管理区域公共部位、公用设施设备日常维修费（单次单项维修材料费300元以下的）；</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物业管理区域绿化养护费用；</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物业服务企业办公费用（包括水电费）；</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物业服务企业固定资产折旧费用（含开办物资）；</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物业共用部位、共用设施设备及公众责任保险费用；</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法定税费； </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物业服务企业的利润；</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装饰装修管理费；</w:t>
      </w:r>
      <w:r/>
    </w:p>
    <w:p>
      <w:pPr>
        <w:numPr>
          <w:ilvl w:val="0"/>
          <w:numId w:val="11"/>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其他应由物业服务企业承担的费用。</w:t>
      </w:r>
      <w:r/>
    </w:p>
    <w:p>
      <w:pPr>
        <w:ind w:firstLine="480"/>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③不包括下列费用：</w:t>
      </w:r>
      <w:r/>
    </w:p>
    <w:p>
      <w:pPr>
        <w:numPr>
          <w:ilvl w:val="0"/>
          <w:numId w:val="12"/>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小区共用部位、共用设施设备大中修费用。</w:t>
      </w:r>
      <w:r/>
    </w:p>
    <w:p>
      <w:pPr>
        <w:numPr>
          <w:ilvl w:val="0"/>
          <w:numId w:val="12"/>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公共能耗费</w:t>
      </w:r>
      <w:r/>
    </w:p>
    <w:p>
      <w:pP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3、公共设备设施维修费用约定：</w:t>
      </w:r>
      <w:r>
        <w:rPr>
          <w:rFonts w:hint="eastAsia" w:ascii="宋体" w:hAnsi="宋体" w:eastAsia="宋体" w:cs="宋体"/>
          <w:color w:val="000000"/>
          <w:sz w:val="24"/>
          <w:szCs w:val="24"/>
          <w:highlight w:val="none"/>
        </w:rPr>
        <w:t xml:space="preserve">根据招标文件中约定，保修期外的单项单次材料费300元以下的维修项目均由乙方负责维修；超过此标准的项目由甲方安排具体维修事宜。</w:t>
      </w:r>
      <w:r/>
    </w:p>
    <w:p>
      <w:p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4、支付方式：</w:t>
      </w:r>
      <w:r/>
    </w:p>
    <w:p>
      <w:pPr>
        <w:pStyle w:val="1026"/>
        <w:spacing w:before="120" w:after="120" w:line="288"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（1）预付款支付时间：合同签订后10个工作日内，预付款支付比例：合同金额的10%；</w:t>
      </w:r>
      <w:r/>
    </w:p>
    <w:p>
      <w:pPr>
        <w:pStyle w:val="1026"/>
        <w:spacing w:before="120" w:after="120" w:line="288"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（2）尾款支付时间：服务费按季度支付，按照先服务后付款的方式，采购人收到发票后10个工作日内，根据考核结果支付费用，预付款在第一次付款中扣回。</w:t>
      </w:r>
      <w:r/>
    </w:p>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（3）付款前，乙方需按照甲方财务要求提供发票。</w:t>
      </w:r>
      <w:r/>
    </w:p>
    <w:p>
      <w:pPr>
        <w:numPr>
          <w:ilvl w:val="0"/>
          <w:numId w:val="10"/>
        </w:numP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履约保证金</w:t>
      </w:r>
      <w:r/>
    </w:p>
    <w:p>
      <w:p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本项目无需缴纳履约保证金</w:t>
      </w:r>
      <w:r/>
    </w:p>
    <w:p>
      <w:pPr>
        <w:jc w:val="center"/>
        <w:spacing w:beforeAutospacing="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第四章  物业的承接验收</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应及时通知乙方承接验收物业，移交物业共用部位、共用设施设备和共用场地、物业管理用房及有关资料。在承接验收中发现的问题，由乙方直接联系施工单位进行整改维修；维修整改后无问题的，由甲方、乙方建设方共同签字确认后由乙方接收，进行日常管理。</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乙方承接物业时，甲方协调建设单位向乙方移交下列资料：</w:t>
      </w:r>
      <w:r/>
    </w:p>
    <w:p>
      <w:pPr>
        <w:numPr>
          <w:ilvl w:val="0"/>
          <w:numId w:val="13"/>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竣工总平面图，单体建筑、结构、设备竣工图，配套设施、地下管网工程竣工图等竣工验收资料；</w:t>
      </w:r>
      <w:r/>
    </w:p>
    <w:p>
      <w:pPr>
        <w:numPr>
          <w:ilvl w:val="0"/>
          <w:numId w:val="13"/>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共用设施设备的安装、使用和维护保养等技术资料；</w:t>
      </w:r>
      <w:r/>
    </w:p>
    <w:p>
      <w:pPr>
        <w:numPr>
          <w:ilvl w:val="0"/>
          <w:numId w:val="13"/>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物业质量保修文件和物业使用说明文件；</w:t>
      </w:r>
      <w:r/>
    </w:p>
    <w:p>
      <w:pPr>
        <w:numPr>
          <w:ilvl w:val="0"/>
          <w:numId w:val="13"/>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业主清册（包括业主姓名、联系地址和电话，房屋建筑面积、交付时间等）。</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交付使用的物业符合国家规定的验收标准，按照国家规定的保修期限和保修范围承担物业的保修责任。</w:t>
      </w:r>
      <w:r/>
    </w:p>
    <w:p>
      <w:pPr>
        <w:ind w:firstLine="420"/>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如甲方委托乙方代为履行保修责任的，双方应当另行订立委托协议。 </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甲方按下列程序，向乙方办理承接验收手续：</w:t>
      </w:r>
      <w:r/>
    </w:p>
    <w:p>
      <w:pPr>
        <w:numPr>
          <w:ilvl w:val="0"/>
          <w:numId w:val="14"/>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甲方书面通知乙方办理承接验收手续，并提交有关资料；</w:t>
      </w:r>
      <w:r/>
    </w:p>
    <w:p>
      <w:pPr>
        <w:numPr>
          <w:ilvl w:val="0"/>
          <w:numId w:val="14"/>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乙方应对提交的资料在7日内审核完毕，符合要求的，约定验收时间及有关事项；</w:t>
      </w:r>
      <w:r/>
    </w:p>
    <w:p>
      <w:pPr>
        <w:numPr>
          <w:ilvl w:val="0"/>
          <w:numId w:val="14"/>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甲方组织现场交付工作，并会同乙方对物业共用部位、共用设施设备、共用场地和物业管理用房等进行查验。查验的物业必须已取得房屋建筑工程竣工验收合格的相关材料；</w:t>
      </w:r>
      <w:r/>
    </w:p>
    <w:p>
      <w:pPr>
        <w:numPr>
          <w:ilvl w:val="0"/>
          <w:numId w:val="14"/>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查验中发现的问题，应详细记录，并签订有关协议处理解决；</w:t>
      </w:r>
      <w:r/>
    </w:p>
    <w:p>
      <w:pPr>
        <w:numPr>
          <w:ilvl w:val="0"/>
          <w:numId w:val="14"/>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经查验符合要求的，应在7日内办理有关交接手续，甲乙双方</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物业承接验收确认书。</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物业的承接验收，必须符合下列条件：</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建设项目应按照规划、设计的要求建成并满足规划、设计的使用功能；</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建设工程全部施工完毕，并经验收合格，验收资料齐全；</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消防、安全、供电、供气、给水排水、卫生、绿化、道路、电信等主要设备和设施正常使用并符合相关规定；</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临时设施、施工机具、建筑构件、建筑垃圾、废料等全部清运完毕，室外无架设临时管线；</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施工单位及施工人员已完工退场，不再占用物业管理区域内房屋且临时施工用房已拆除；</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绿化已按设计要求种植；</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专用的机动车、非机动车停车场（车库、车棚）已按规定配置，物业管理区域室外道路建成并保持通畅；</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共用区域垃圾中转站（箱、桶）已按规定配置；</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物业管理区域入口处已设置平面示意标识；</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共用部位消防设备设施及信报箱、公告栏已按规定配置；</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物业管理区域内房屋的幢、户编号已经有关部门确定；</w:t>
      </w:r>
      <w:r/>
    </w:p>
    <w:p>
      <w:pPr>
        <w:numPr>
          <w:ilvl w:val="0"/>
          <w:numId w:val="15"/>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物业管理用房已按规定落实。</w:t>
      </w:r>
      <w:r/>
    </w:p>
    <w:p>
      <w:pPr>
        <w:jc w:val="center"/>
        <w:spacing w:beforeAutospacing="1"/>
        <w:rPr>
          <w:rFonts w:hint="eastAsia" w:ascii="宋体" w:hAnsi="宋体" w:eastAsia="宋体" w:cs="宋体"/>
          <w:color w:val="000000"/>
          <w:sz w:val="24"/>
          <w:szCs w:val="24"/>
          <w:highlight w:val="none"/>
          <w:u w:val="single"/>
          <w:lang w:val="zh-CN" w:bidi="zh-CN"/>
        </w:rPr>
      </w:pPr>
      <w:r>
        <w:rPr>
          <w:rFonts w:hint="eastAsia" w:ascii="宋体" w:hAnsi="宋体" w:eastAsia="宋体" w:cs="宋体"/>
          <w:b/>
          <w:color w:val="000000"/>
          <w:sz w:val="24"/>
          <w:szCs w:val="24"/>
          <w:highlight w:val="none"/>
          <w:lang w:val="zh-CN" w:bidi="zh-CN"/>
        </w:rPr>
        <w:t xml:space="preserve">第五章  相关责任</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甲方相关责任：</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责成乙方制定本物业管理区域内物业共用部位和共用设施设备的使用、公共秩序和环境卫生的维护等方面的规章制度，对乙方的管理服务进行监督检查，进行考核评定。如因乙方管理不善，造成重大经济损失或管理失误，甲方有权终止本合同；</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监督乙方督促业主、物业使用人遵守《临时管理规约》和物业共用部位、共用设施设备的使用、公共秩序和环境卫生的维护等方面的管理制度；</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及时依法督促建设单位履行对物业的保修责任；</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因维修物业或者公共利益，确需临时占用、挖掘本物业管理区域内道路、场地的，应告知相关业主和乙方，共同商定施工方案；</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支持和配合乙方做好物业管理工作和积极参与社区建设活动；</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监督、检查乙方物业管理方案、年度管理计划、年度维修养护计划的实施及各项制度的执行情况；</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对乙方物业维修工作进行申报管理和现场查勘、监督；</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负责处理因小区遗留问题引发的物业管理纠纷；</w:t>
      </w:r>
      <w:r/>
    </w:p>
    <w:p>
      <w:pPr>
        <w:numPr>
          <w:ilvl w:val="0"/>
          <w:numId w:val="16"/>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、规章规定的由甲方承担的其他责任。</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乙方相关责任：</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委派具有岗位资格的人员履行本合同，负责提供物业管理服务。在本合同签订前，乙方根据物业人员编制，提供该物业项目人员花名册、工资发放表、社会保险及住房公积金缴纳清册，并需企业法人签字确认，对所提交的资料真实性负责；</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物业项目发生突发事件时，（包括但不限于）火灾事故、淹水事故等各类突发安全及公共事件，需做到十分钟内向甲方口头汇报，一个小时内向甲方书面汇报。如未按要求执行，第一次约谈，以后每查实一次乙方应承担1万元违约金，甲方有权直接在服务费中扣除。</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3、物业项目经理更换时，须第一时间向街道物业管理办公室报备，逾期报备的扣减物业服务费1万元；</w:t>
      </w:r>
      <w:r/>
    </w:p>
    <w:p>
      <w:pPr>
        <w:ind w:firstLine="420"/>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除甲方允许外，乙方不得利用物业范围内任何区域、设施进行经营性活动，且相关收入应按照甲方要求上交相关管理部门；也不得擅自收取业主相关费用，如政府调整收费政策，应根据甲方书面通知内容开展相关收费工作。物业小区公共收益必须合法合规，符合物业服务合同的要求，</w:t>
      </w:r>
      <w:r>
        <w:rPr>
          <w:rFonts w:hint="eastAsia" w:ascii="宋体" w:hAnsi="宋体" w:eastAsia="宋体" w:cs="宋体"/>
          <w:bCs/>
          <w:color w:val="000000"/>
          <w:sz w:val="24"/>
          <w:szCs w:val="24"/>
          <w:highlight w:val="none"/>
        </w:rPr>
        <w:t xml:space="preserve">公共收益支出须用于但不限于小区的环境改善、公共维修、设施优化、助老助残等公益服务方面，不得与应由乙方承担的服务项目重复，否则相关费用将从物业服务费用中扣除。同时需按季度将小区公共收益标准及收支台账报给甲方，并在小区公告栏明显位置向业主公示；</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应积极配合招标人处理关于物业服务方面的12345投诉、信访等工单，接到投诉工单，应在24小时内予以答复并积极采取应对措施，如因乙方管理服务或处理不当造成的投诉或恶劣影响，甲方有权视情节严重程度单方面解除合同。如遇特殊情况（文明城市创建等），乙方应无条件全面配合属地社区做好各项工作，包括人员支援等；</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6、应积极配合政府主管部门做好小区垃圾分类工作。如相关部门在专项检查中发现乙方在工作中有失责之处，乙方将接受相应经济处罚，造成严重后果或影响恶劣的，将直接终止物业服务合同；</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全力配合街道、社区做好文明典范城市创建工作，加强小区日常管理，按照创建标准严格落实各项管理指标，发现问题及时整改。如相关部门在相关检查中发现乙方在上述专项工作中有失责之处，乙方将接受相应经济处罚，造成严重后果或影响恶劣的，将直接终止物业服务合同；</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应做好小区的日常安全管理工作，落实各项消防安全任务，禁止电动车在小区指定位置以外的区域充电，特别是在楼道充电，严禁电动车进入电梯。如因乙方管理不到位而造成严重后果的，乙方将承担主体责任，因管理不到位出现安全事故的，每查实一次乙方应承担5000元违约金，甲方有权直接在服务费中扣除。</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要严格落实《南京市消防条例》规定，禁止瓶装液化石油气或运输瓶装液化石油气进入小区，经查实发现一起有瓶装液化气违规进入高层小区或多层地下室及储藏室的，每查实一次乙方应承担5000元违约金，甲方有权直接在服务费中扣除。因乙方管理不到位，导致瓶装液化石油气或运输瓶装液化石油气进入小区而引发严重事故的，可立即终止物业服务合同；</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10、及时向全体业主通告本物业管理区域内有关物业管理的重大事项，及时处理业主、物业使用人的投诉，接受甲方、业主、物业使用人的监督； </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11、督促业主、物业使用人遵守《临时管理规约》和物业共用部位、共用设施设备的使用、公共秩序和环境卫生的维护等方面的管理制度；</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12、采取规劝、制止、报告、公示等必要措施，制止业主、物业使用人违反《临时管理规约》和物业管理区域内物业管理规章制度的行为；</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应与装饰装修房屋的业主、物业使用人签订书面的装饰装修管理服务告知书或承诺书等，就允许施工的时间、废弃物的清运与处置等事项进行约定，并事先告知业主、物业使用人装饰装修中的禁止行为和注意事项。在业主、物业使用人装饰装修房屋期间，定期对施工现场进行巡查，对损坏或者擅自改变房屋承重结构、主体结构和门窗位置、将没有防水要求的房间或者阳台改为卫生间、厨房，或者将卫生间改在下层住户的厨房、卧室、起居室、书房的上方、违法建设建筑物、构筑物，或者破坏、擅自改变房屋外貌、擅自占用公共楼道、私自增设门窗及隔离墙等作为</w:t>
      </w:r>
      <w:r>
        <w:rPr>
          <w:rFonts w:hint="eastAsia" w:ascii="宋体" w:hAnsi="宋体" w:eastAsia="宋体" w:cs="宋体"/>
          <w:color w:val="000000"/>
          <w:sz w:val="24"/>
          <w:szCs w:val="24"/>
          <w:highlight w:val="none"/>
        </w:rPr>
        <w:t xml:space="preserve">占用公共空间、影响消防安全等违规装修、改造、改变房屋用途、影响房屋外观，危及房屋结构安全及拆改共用管线等损害公共利益的现象及时劝阻、制止，安排人员对小区装修户进行定期查检，禁止违规装修。对于违规装修不听劝阻的，应通过限制装修人员、装修材料进入小区、限水、限电等合理合法措施进行干预。制止不到位的，每查实一次乙方应承担5000元违约金，甲方有权直接在服务费中扣除。情节严重的，应承担1万元违约金，甲方有权直接在服务费中扣除。物业公司因管理不到位，因业主违规装修引发严重事故或造成恶劣影响的，可立即终止物业服务合同。</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14、结合本物业的实际情况，编制物业管理方案、年度管理计划、年度维修养护计划、年度费用概预算和决算报告。接受甲方的监督、指导和物业工作考核；</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加强有关物业档案和资料的管理。合同到期后，按照规范要求做好和下一任物业企业档案资料的交接。自本合同终止时起10日内，向甲方或业主委员会移交物业管理区域、资料等，不得以合同纠纷等理由拒绝移交；如未按照甲方要求交接物业管理的相关资料档案，甲方可视情节严重程度予以扣除履约保证金。</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、规章规定的由乙方承担的其他责任；</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17、及时处理小区住户报修，对公共区域、公共设施设备损坏及时修复；</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18、如受甲方委托对物业共用部位、共用设施设备大、中修和更新、改造及公共维修材料的更换的，乙方应当做到高效快捷；</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19、在本合同有效期限内，乙方因操作失误、过失、管理不善、人为损坏等原因造成的设施设备损坏，由乙方负责进行维修、更换，确保各类设施设备正常运行，甲方不支付任何维修费用；</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20、乙方在本合同有效期限内，配备工作所需的工具和设备，严格落实作业现场安全防护措施，保证作业安全。因维护保养、维修等工作所发生的乙方工作人员事故及任何责任均由乙方承担，与甲方无关；</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21、乙方应为工作人员购买工伤、养老、医疗等有关保险，乙方工作人员因工伤、人身意外等各类原因产生的责任和纠纷，与甲方无关；</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22、因乙方管理工作不到位或过失、人为失误等自身原因，造成第三者的人身伤亡或财产损失，由乙方承担一切责任并负责处理和赔偿，与甲方无关；</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23、乙方应当自行负责完成本物业的管理服务工作，不得将整体管理责任及利益转让给其他个人或单位，不得将重要专项业务承包给其他个人或单位；</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24、对本物业的公用设施不得擅自占用和改变使用功能，如需在本物业内改扩建完善配套项目，须报甲方和有关部门批准后方可实施；</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25、本物业的管理档案并负责及时记载有关变更情况；</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26、乙方在管理中产生的水、电、燃气、网络、通讯、广电等费用由乙方自行负责，乙方在物业工作中使用的工具、线路、电器、设备等自行负责维修和更换；</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27、负责处理非甲方原因而产生的各种纠纷；</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28、负责处理各类人为损坏共用设施、设备的行为，进行代位追偿；</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29、物业管理区域内禁止下列行为：</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（1）违反市人民政府有关房屋出租规定。</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（2）擅自占用、挖掘物业管理区域内道路、场地，损害业主共同利益。</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（3）损毁树木、绿地。</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（4）违反安全标准存放易燃、易爆、剧毒、放射性等危险性物品。</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（5）损坏或者擅自停用公共消防设施和器材，妨碍公共通道、安全出口、消防通道畅通。</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（6）任意弃置垃圾、排放污水、抛掷杂物或者露天焚烧杂物。</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（7）制造超过规定标准的噪声、振动。</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（8）在规定区域外停放车辆。</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（9）擅自在建筑物、构筑物上悬挂、张贴、涂写、刻画。</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（10）擅自架设电线、电缆等。</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（11）擅自在楼道等业主共有区域堆放物品。</w:t>
      </w:r>
      <w:r/>
    </w:p>
    <w:p>
      <w:pPr>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、临时管理规约和管理规约禁止的其他行为。</w:t>
      </w:r>
      <w:r/>
    </w:p>
    <w:p>
      <w:pPr>
        <w:ind w:left="12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position w:val="6"/>
          <w:sz w:val="24"/>
          <w:szCs w:val="24"/>
          <w:highlight w:val="none"/>
        </w:rPr>
        <w:t xml:space="preserve">有上述所列行为之一的，乙方应及时制止，并要求立即整改到位，如制止不到位的，应承担1000元违约金，甲方有权直接在服务费中扣除。造成严重后果或影响恶劣的，甲方有权终止物业服务合同。</w:t>
      </w:r>
      <w:r/>
    </w:p>
    <w:p>
      <w:pPr>
        <w:jc w:val="center"/>
        <w:spacing w:beforeAutospacing="1"/>
        <w:rPr>
          <w:rFonts w:hint="eastAsia" w:ascii="宋体" w:hAnsi="宋体" w:eastAsia="宋体" w:cs="宋体"/>
          <w:b/>
          <w:color w:val="000000"/>
          <w:sz w:val="24"/>
          <w:szCs w:val="24"/>
          <w:highlight w:val="none"/>
          <w:lang w:val="zh-CN" w:bidi="zh-CN"/>
        </w:rPr>
      </w:pPr>
      <w:r>
        <w:rPr>
          <w:rFonts w:hint="eastAsia" w:ascii="宋体" w:hAnsi="宋体" w:eastAsia="宋体" w:cs="宋体"/>
          <w:b/>
          <w:color w:val="000000"/>
          <w:sz w:val="24"/>
          <w:szCs w:val="24"/>
          <w:highlight w:val="none"/>
          <w:lang w:val="zh-CN" w:bidi="zh-CN"/>
        </w:rPr>
        <w:t xml:space="preserve">第六章  违约责任</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甲方违反本合同的约定，导致乙方的管理服务无法达到本合同约定的服务内容和质量标准的，由甲方按照合同约定或协商赔偿相关利益人的损失。</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乙方的管理服务达不到本合同约定的服务内容和质量标准给业主和物业使用人造成损失的，应当按照合同约定向相关利益人支付违约金。</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乙方违反本合同的约定，擅自收取物业服务费用的，乙方须双倍返还所收部分的物业服务费用，甲方有权酌情扣减物业服务费。</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乙方违反本合同的约定，拒绝或拖延履行维修养护义务的，业主、物业使用人可以自行或委托他人修复，修复费用及造成的损失由乙方承担。</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以下情况乙方不承担责任：</w:t>
      </w:r>
      <w:r/>
    </w:p>
    <w:p>
      <w:pPr>
        <w:numPr>
          <w:ilvl w:val="0"/>
          <w:numId w:val="1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因不可抗力导致物业管理服务中断的；</w:t>
      </w:r>
      <w:r/>
    </w:p>
    <w:p>
      <w:pPr>
        <w:numPr>
          <w:ilvl w:val="0"/>
          <w:numId w:val="1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乙方已履行本合同约定义务，但因物业本身固有瑕疵造成损失的；</w:t>
      </w:r>
      <w:r/>
    </w:p>
    <w:p>
      <w:pPr>
        <w:numPr>
          <w:ilvl w:val="0"/>
          <w:numId w:val="1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因维修养护物业共用部位、共用设施设备需要，且事先已告知业主、物业使用人，暂时停水、停电、停止共用设施设备使用等造成损失的；</w:t>
      </w:r>
      <w:r/>
    </w:p>
    <w:p>
      <w:pPr>
        <w:numPr>
          <w:ilvl w:val="0"/>
          <w:numId w:val="1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因非乙方责任出现供水、供电、供气、通讯、有线电视及其他共用设施设备运行障碍造成损失的；</w:t>
      </w:r>
      <w:r/>
    </w:p>
    <w:p>
      <w:pPr>
        <w:numPr>
          <w:ilvl w:val="0"/>
          <w:numId w:val="1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因业主、物业使用人未及时缴纳供水、供电、供气、通讯、有线电视等费用而导致服务中断或受到影响的；</w:t>
      </w:r>
      <w:r/>
    </w:p>
    <w:p>
      <w:pPr>
        <w:numPr>
          <w:ilvl w:val="0"/>
          <w:numId w:val="17"/>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业主、物业使用人违反《临时管理规约》和物业管理区域内物业管理规章制度的行为，虽经乙方采取规劝、制止、向有关部门汇报等措施后，仍未解决，其行为对其他业主、物业使用人产生妨碍和影响的。</w:t>
      </w:r>
      <w:r/>
    </w:p>
    <w:p>
      <w:pPr>
        <w:jc w:val="center"/>
        <w:spacing w:beforeAutospacing="1"/>
        <w:rPr>
          <w:rFonts w:hint="eastAsia" w:ascii="宋体" w:hAnsi="宋体" w:eastAsia="宋体" w:cs="宋体"/>
          <w:b/>
          <w:color w:val="000000"/>
          <w:sz w:val="24"/>
          <w:szCs w:val="24"/>
          <w:highlight w:val="none"/>
          <w:lang w:val="zh-CN" w:bidi="zh-CN"/>
        </w:rPr>
      </w:pPr>
      <w:r>
        <w:rPr>
          <w:rFonts w:hint="eastAsia" w:ascii="宋体" w:hAnsi="宋体" w:eastAsia="宋体" w:cs="宋体"/>
          <w:b/>
          <w:color w:val="000000"/>
          <w:sz w:val="24"/>
          <w:szCs w:val="24"/>
          <w:highlight w:val="none"/>
          <w:lang w:val="zh-CN" w:bidi="zh-CN"/>
        </w:rPr>
        <w:t xml:space="preserve">第七章  其他事项</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本合同中有关词语的含义是：</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业主，是指房屋的所有权人，即房产权属登记册记载的权利人。</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物业使用人，是指房屋的实际使用人或承租人。</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物业买受人，是指房屋销售合同中确定的购买人。</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物业，是指房屋及其附属设施设备和相关场地。</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物业交付使用，是指物业买受人收到甲方书面入住通知并已按规定办理相应手续。</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共用部位，是指物业主体承重结构部位（包括基础、承重墙体、柱、梁、楼板、屋顶等）、户外墙面、门厅、楼梯间、走廊通道等。</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共用设施设备，是指物业区域内，保障房屋正常使用的，由全体业主共同拥有的上下水管道、落水管、水箱、加压水泵、电梯、天线、供电线路、共用照明、消防设施、绿地、道路、沟渠、池井、公益性文体设施和共用设施设备使用的房屋等。</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公共区域，是指一幢房屋内部，由整幢房屋的业主、物业使用人共同使用的区域以及整幢房屋外、物业管理区域内，由全体业主、物业使用人共同使用的区域。</w:t>
      </w:r>
      <w:r/>
    </w:p>
    <w:p>
      <w:pPr>
        <w:numPr>
          <w:ilvl w:val="0"/>
          <w:numId w:val="18"/>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专有部分，是指在构造及利用上具有独立性，由单个业主独立使用、处分的物业部位。</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本合同终止时，乙方应将物业管理用房、物业管理相关资料等属于全体业主所有的财物及时完整地移交给业主委员会；业主委员会尚未成立的，移交给甲方代管。</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本合同的附件为本合同不可分割的组成部分，与本合同具有同等法律效力。</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本合同执行期间，如遇不可抗力，致使合同无法履行时，各方均不承担违约责任并按有关法规政策规定及时协商处理。</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甲乙双方可对本合同的条款进行修订更改或补充，以书面方式签订补充协议，补充协议与本合同具有同等效力。</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本合同在履行中如发生争议，各方应协商解决，协商不成时，提请物业管理主管部门调解；调解不成的，各方均有权向项目所在地人民法院提起诉讼。</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本合同及其附件和补充协议中未规定的事项，均遵照中华人民共和国有关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和政策执行。</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本合同未尽事宜，均由甲</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乙</w:t>
      </w:r>
      <w:r>
        <w:rPr>
          <w:rFonts w:hint="eastAsia" w:ascii="宋体" w:hAnsi="宋体" w:eastAsia="宋体" w:cs="宋体"/>
          <w:b/>
          <w:color w:val="000000"/>
          <w:sz w:val="24"/>
          <w:szCs w:val="24"/>
          <w:highlight w:val="none"/>
        </w:rPr>
        <w:t xml:space="preserve">双方协商后，以补充协议方式另行约定。</w:t>
      </w:r>
      <w:r/>
    </w:p>
    <w:p>
      <w:pPr>
        <w:numPr>
          <w:ilvl w:val="0"/>
          <w:numId w:val="10"/>
        </w:num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本合同一式</w:t>
      </w:r>
      <w:r>
        <w:rPr>
          <w:rFonts w:hint="eastAsia" w:ascii="宋体" w:hAnsi="宋体" w:eastAsia="宋体" w:cs="宋体"/>
          <w:color w:val="000000"/>
          <w:sz w:val="24"/>
          <w:szCs w:val="24"/>
          <w:highlight w:val="none"/>
          <w:u w:val="single"/>
        </w:rPr>
        <w:t xml:space="preserve">肆</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u w:val="single"/>
        </w:rPr>
        <w:t xml:space="preserve">贰</w:t>
      </w:r>
      <w:r>
        <w:rPr>
          <w:rFonts w:hint="eastAsia" w:ascii="宋体" w:hAnsi="宋体" w:eastAsia="宋体" w:cs="宋体"/>
          <w:color w:val="000000"/>
          <w:sz w:val="24"/>
          <w:szCs w:val="24"/>
          <w:highlight w:val="none"/>
        </w:rPr>
        <w:t xml:space="preserve">份。本合同自双方签字盖章后生效。</w:t>
      </w:r>
      <w:r/>
    </w:p>
    <w:p>
      <w:pPr>
        <w:jc w:val="left"/>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w:t>
      </w:r>
      <w:r/>
    </w:p>
    <w:p>
      <w:pP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法人代表/授权代理人：                    法人代表/授权代理人：</w:t>
      </w:r>
      <w:r/>
    </w:p>
    <w:p>
      <w:pPr>
        <w:ind w:right="480"/>
        <w:jc w:val="center"/>
        <w:spacing w:beforeAutospacing="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签约时间：    年    月    日</w:t>
      </w:r>
      <w:r/>
    </w:p>
    <w:p>
      <w:pPr>
        <w:pStyle w:val="943"/>
        <w:jc w:val="left"/>
        <w:keepLines w:val="0"/>
        <w:keepNext w:val="0"/>
        <w:pageBreakBefore w:val="0"/>
        <w:spacing w:before="120" w:after="120" w:line="288" w:lineRule="auto"/>
        <w:widowControl w:val="off"/>
        <w:rPr>
          <w:rFonts w:hAnsi="宋体"/>
          <w:color w:val="000000"/>
          <w:sz w:val="24"/>
          <w:szCs w:val="24"/>
          <w:highlight w:val="none"/>
        </w:rPr>
      </w:pPr>
      <w:r>
        <w:rPr>
          <w:rFonts w:hAnsi="宋体"/>
          <w:color w:val="000000"/>
          <w:sz w:val="24"/>
          <w:szCs w:val="24"/>
          <w:highlight w:val="none"/>
        </w:rPr>
      </w:r>
      <w:r/>
    </w:p>
    <w:p>
      <w:pPr>
        <w:jc w:val="center"/>
        <w:keepLines w:val="0"/>
        <w:keepNext w:val="0"/>
        <w:pageBreakBefore w:val="0"/>
        <w:spacing w:line="252" w:lineRule="auto"/>
        <w:widowControl w:val="off"/>
        <w:rPr>
          <w:rFonts w:hint="eastAsia" w:ascii="黑体" w:hAnsi="Courier New" w:eastAsia="黑体" w:cs="Courier New"/>
          <w:bCs/>
          <w:color w:val="000000"/>
          <w:sz w:val="44"/>
          <w:szCs w:val="21"/>
          <w:highlight w:val="none"/>
        </w:rPr>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66"/>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67"/>
      <w:r/>
      <w:bookmarkEnd w:id="168"/>
      <w:r/>
      <w:bookmarkEnd w:id="169"/>
      <w:r/>
      <w:bookmarkStart w:id="172" w:name="_Toc49090575"/>
      <w:r/>
      <w:bookmarkStart w:id="173" w:name="_Toc26554093"/>
      <w:r/>
      <w:r/>
    </w:p>
    <w:p>
      <w:pPr>
        <w:ind w:firstLine="480"/>
        <w:keepLines w:val="0"/>
        <w:keepNext w:val="0"/>
        <w:pageBreakBefore w:val="0"/>
        <w:spacing w:line="240" w:lineRule="auto"/>
        <w:widowControl w:val="off"/>
        <w:rPr>
          <w:rFonts w:hint="eastAsia" w:ascii="宋体" w:hAnsi="宋体"/>
          <w:color w:val="000000"/>
          <w:sz w:val="24"/>
          <w:szCs w:val="24"/>
          <w:highlight w:val="none"/>
        </w:rPr>
      </w:pPr>
      <w:r/>
      <w:bookmarkStart w:id="174"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1.项目简介：</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包1包括：方州社区：</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方州西苑：建筑面积0.79万平方米、楼栋数1栋、户数90户、垃圾房亭1个、电梯数量2个、出入口数量1个；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扬子分输站宿舍区：建筑面积0.5万平方米、楼栋数3栋、户数64户、垃圾房亭1个、出入口数量1个；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园林小区：建筑面积0.7万平方米、楼栋数6栋、户数151户、垃圾房亭1个、出入口数量1个；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凤凰社区：</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龙达佳苑：建筑面积1.8万平方米、楼栋数3栋、户数192户、垃圾房亭1个、出入口数量1个；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银海新村：建筑面积1.9万平方米、楼栋数7栋、户数246户、垃圾房亭1个、出入口数量1个；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银海新寓：建筑面积0.8万平方米、楼栋数3栋、户数97户、垃圾房亭1个、出入口数量1个。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包2包括：龙津社区：</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长江新苑2期：建筑面积3.12万平方米、楼栋数8栋、户数288户、垃圾房亭1个、出入口1个；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米巷小区：建筑面积2万平方米、楼栋数10栋、户数453户、垃圾房亭1个、出入口数量2个；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泰山社区：</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白果新寓：建筑面积0.99万平方米、楼栋数5栋、户数104户、垃圾房亭1个、出入口数量1个；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东泰北村：建筑面积2.8万平方米、楼栋数7栋、户数175户、垃圾房亭1个、出入口数量1个；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紫霞社区：</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十二折苑：建筑面积2.4万平方米、楼栋数8栋、户数258户、垃圾房亭1个、出入口数量1个。</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2.办公用房</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numPr>
          <w:ilvl w:val="0"/>
          <w:numId w:val="19"/>
        </w:num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服务标准</w:t>
      </w:r>
      <w:r/>
    </w:p>
    <w:p>
      <w:pPr>
        <w:ind w:firstLine="48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南京市物业服务等级三级</w:t>
      </w:r>
      <w:r/>
    </w:p>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三、产品清单（采购包1、采购包2）</w:t>
      </w:r>
      <w:r/>
    </w:p>
    <w:tbl>
      <w:tblPr>
        <w:tblStyle w:val="1015"/>
        <w:tblW w:w="498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9"/>
        <w:gridCol w:w="2042"/>
        <w:gridCol w:w="768"/>
        <w:gridCol w:w="776"/>
        <w:gridCol w:w="2305"/>
        <w:gridCol w:w="3087"/>
      </w:tblGrid>
      <w:tr>
        <w:trPr>
          <w:trHeight w:val="470"/>
        </w:trPr>
        <w:tc>
          <w:tcPr>
            <w:tcW w:w="3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p>
        </w:tc>
        <w:tc>
          <w:tcPr>
            <w:tcW w:w="10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名称</w:t>
            </w:r>
            <w:r/>
          </w:p>
        </w:tc>
        <w:tc>
          <w:tcPr>
            <w:tcW w:w="3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p>
        </w:tc>
        <w:tc>
          <w:tcPr>
            <w:tcW w:w="3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p>
        </w:tc>
        <w:tc>
          <w:tcPr>
            <w:tcW w:w="11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rPr>
              <w:t xml:space="preserve">类型</w:t>
            </w:r>
            <w:r/>
          </w:p>
        </w:tc>
        <w:tc>
          <w:tcPr>
            <w:tcW w:w="15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备注</w:t>
            </w:r>
            <w:r/>
          </w:p>
        </w:tc>
      </w:tr>
      <w:tr>
        <w:trPr>
          <w:trHeight w:val="597"/>
        </w:trPr>
        <w:tc>
          <w:tcPr>
            <w:tcW w:w="3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p>
        </w:tc>
        <w:tc>
          <w:tcPr>
            <w:tcW w:w="1048"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物业管理服务</w:t>
            </w:r>
            <w:r/>
          </w:p>
        </w:tc>
        <w:tc>
          <w:tcPr>
            <w:tcW w:w="3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p>
        </w:tc>
        <w:tc>
          <w:tcPr>
            <w:tcW w:w="3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p>
        </w:tc>
        <w:tc>
          <w:tcPr>
            <w:tcW w:w="11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物业管理</w:t>
            </w:r>
            <w:r/>
          </w:p>
        </w:tc>
        <w:tc>
          <w:tcPr>
            <w:tcW w:w="15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（一）技术要求</w:t>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p>
    <w:tbl>
      <w:tblPr>
        <w:tblStyle w:val="973"/>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1.环境保洁</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）室外区域</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）地下停车库</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2.安全保卫</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主出入口实行24小时值班，双人值守，周一至周五白班安排不少于4人，场所内实行24小时不间断巡逻，监控室实行24小时监控，安全防范实行人防、机防、技防相结合，监控巡视、值班相配合，确保无漏岗、脱岗、睡岗、失职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）安全保卫人员有明显标志，作业规范，反应机敏、熟悉环境，处理异常情况及时、正确，文明执勤。</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）危及物业使用安全处设置明显标志和切实的安全防范措施。</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）有针对性地提供突发事件的安全保卫工作服务，措施得力，制度健全，人员到位。</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）重大火灾、刑事案件或交通事故发生率1‰以下，处理及时率100%。</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）道路通畅、路面、路牙及相关设施完整，标识完好。</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）停车场管理制度完善，人员配备合理，机动车辆、非机动车分区停放有序、安全可靠，无乱停乱放和阻塞现象。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）出入口和道路无堵塞现象。</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3.工程维护</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）日常维修报修15分钟内到场，维修率100%。</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）所有维修人员必须持有效证件上岗。</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）电梯、空调、消防、弱电等专业维保单位进行维保时，必须有专人随工监督。</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）高压配电间值班需24小时值守。</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）制定完备的应急预案，定期演练，防止突发事件的发生。</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.垃圾分类</w:t>
            </w:r>
            <w:r/>
          </w:p>
          <w:p>
            <w:pPr>
              <w:jc w:val="left"/>
              <w:keepLines w:val="0"/>
              <w:keepNext w:val="0"/>
              <w:pageBreakBefore w:val="0"/>
              <w:spacing w:after="0" w:line="240" w:lineRule="auto"/>
              <w:widowControl w:val="off"/>
              <w:rPr>
                <w:rFonts w:hint="eastAsia" w:ascii="Times New Roman" w:hAnsi="Times New Roman" w:eastAsia="宋体" w:cs="Times New Roman"/>
                <w:color w:val="000000"/>
                <w:highlight w:val="none"/>
              </w:rPr>
            </w:pPr>
            <w:r>
              <w:rPr>
                <w:rFonts w:hint="eastAsia" w:ascii="宋体" w:hAnsi="宋体" w:eastAsia="宋体" w:cs="宋体"/>
                <w:color w:val="000000"/>
                <w:sz w:val="24"/>
                <w:szCs w:val="24"/>
                <w:highlight w:val="none"/>
                <w:lang w:val="en-US" w:eastAsia="zh-CN"/>
              </w:rPr>
              <w:t xml:space="preserve">根据区、街两级要求做好垃圾分类工作</w:t>
            </w:r>
            <w:r/>
          </w:p>
        </w:tc>
      </w:tr>
    </w:tbl>
    <w:p>
      <w:pPr>
        <w:keepLines w:val="0"/>
        <w:keepNext w:val="0"/>
        <w:pageBreakBefore w:val="0"/>
        <w:spacing w:line="240" w:lineRule="auto"/>
        <w:widowControl w:val="off"/>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p>
    <w:p>
      <w:pPr>
        <w:numPr>
          <w:ilvl w:val="0"/>
          <w:numId w:val="0"/>
        </w:numPr>
        <w:rPr>
          <w:rFonts w:hint="eastAsia" w:ascii="宋体" w:hAnsi="宋体" w:eastAsia="宋体" w:cs="Times New Roman"/>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采</w:t>
      </w:r>
      <w:bookmarkStart w:id="175" w:name="OLE_LINK9"/>
      <w:r>
        <w:rPr>
          <w:rFonts w:hint="eastAsia" w:ascii="宋体" w:hAnsi="宋体"/>
          <w:b w:val="0"/>
          <w:bCs w:val="0"/>
          <w:color w:val="000000"/>
          <w:sz w:val="24"/>
          <w:szCs w:val="24"/>
          <w:highlight w:val="none"/>
          <w:lang w:val="en-US" w:eastAsia="zh-CN"/>
        </w:rPr>
        <w:t xml:space="preserve">购包1：</w:t>
      </w:r>
      <w:bookmarkEnd w:id="175"/>
      <w:r>
        <w:rPr>
          <w:rFonts w:hint="eastAsia" w:ascii="宋体" w:hAnsi="宋体"/>
          <w:b w:val="0"/>
          <w:bCs w:val="0"/>
          <w:color w:val="000000"/>
          <w:sz w:val="24"/>
          <w:szCs w:val="24"/>
          <w:highlight w:val="none"/>
          <w:lang w:val="en-US" w:eastAsia="zh-CN"/>
        </w:rPr>
        <w:t xml:space="preserve">人数不得少于31人，</w:t>
      </w:r>
      <w:bookmarkStart w:id="176" w:name="OLE_LINK10"/>
      <w:r>
        <w:rPr>
          <w:rFonts w:hint="eastAsia" w:ascii="宋体" w:hAnsi="宋体" w:eastAsia="宋体" w:cs="Times New Roman"/>
          <w:b w:val="0"/>
          <w:bCs w:val="0"/>
          <w:color w:val="000000"/>
          <w:sz w:val="24"/>
          <w:szCs w:val="24"/>
          <w:highlight w:val="none"/>
          <w:lang w:val="en-US" w:eastAsia="zh-CN"/>
        </w:rPr>
        <w:t xml:space="preserve">其中缴纳社保人数不低于总人数的</w:t>
      </w:r>
      <w:r>
        <w:rPr>
          <w:rFonts w:hint="eastAsia" w:ascii="宋体" w:hAnsi="宋体" w:cs="Times New Roman"/>
          <w:b w:val="0"/>
          <w:bCs w:val="0"/>
          <w:color w:val="000000"/>
          <w:sz w:val="24"/>
          <w:szCs w:val="24"/>
          <w:highlight w:val="none"/>
          <w:lang w:val="en-US" w:eastAsia="zh-CN"/>
        </w:rPr>
        <w:t xml:space="preserve">7</w:t>
      </w:r>
      <w:r>
        <w:rPr>
          <w:rFonts w:hint="eastAsia" w:ascii="宋体" w:hAnsi="宋体" w:eastAsia="宋体" w:cs="Times New Roman"/>
          <w:b w:val="0"/>
          <w:bCs w:val="0"/>
          <w:color w:val="000000"/>
          <w:sz w:val="24"/>
          <w:szCs w:val="24"/>
          <w:highlight w:val="none"/>
          <w:lang w:val="en-US" w:eastAsia="zh-CN"/>
        </w:rPr>
        <w:t xml:space="preserve">0%（2</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人），法定节假日在岗人数至少</w:t>
      </w:r>
      <w:r>
        <w:rPr>
          <w:rFonts w:ascii="宋体" w:hAnsi="宋体" w:eastAsia="宋体" w:cs="Times New Roman"/>
          <w:b w:val="0"/>
          <w:bCs w:val="0"/>
          <w:color w:val="000000"/>
          <w:sz w:val="24"/>
          <w:szCs w:val="24"/>
          <w:highlight w:val="none"/>
          <w:lang w:val="en-US" w:eastAsia="zh-CN"/>
        </w:rPr>
        <w:t xml:space="preserve">满足投入总人数的</w:t>
      </w:r>
      <w:r>
        <w:rPr>
          <w:rFonts w:hint="eastAsia" w:ascii="宋体" w:hAnsi="宋体" w:eastAsia="宋体" w:cs="Times New Roman"/>
          <w:b w:val="0"/>
          <w:bCs w:val="0"/>
          <w:color w:val="000000"/>
          <w:sz w:val="24"/>
          <w:szCs w:val="24"/>
          <w:highlight w:val="none"/>
          <w:lang w:val="en-US" w:eastAsia="zh-CN"/>
        </w:rPr>
        <w:t xml:space="preserve">50</w:t>
      </w:r>
      <w:r>
        <w:rPr>
          <w:rFonts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15</w:t>
      </w:r>
      <w:r>
        <w:rPr>
          <w:rFonts w:hint="eastAsia" w:ascii="宋体" w:hAnsi="宋体" w:eastAsia="宋体" w:cs="Times New Roman"/>
          <w:b w:val="0"/>
          <w:bCs w:val="0"/>
          <w:color w:val="000000"/>
          <w:sz w:val="24"/>
          <w:szCs w:val="24"/>
          <w:highlight w:val="none"/>
          <w:lang w:val="en-US" w:eastAsia="zh-CN"/>
        </w:rPr>
        <w:t xml:space="preserve">人）</w:t>
      </w:r>
      <w:bookmarkEnd w:id="176"/>
      <w:r/>
      <w:r/>
    </w:p>
    <w:tbl>
      <w:tblPr>
        <w:tblStyle w:val="9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（1）项目经理1人：年龄不超过50周岁，身体健康；持物业项目经理证书；</w:t>
            </w:r>
            <w:r/>
          </w:p>
          <w:p>
            <w:pPr>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bookmarkStart w:id="177" w:name="OLE_LINK1"/>
            <w:r>
              <w:rPr>
                <w:rFonts w:hint="eastAsia" w:ascii="宋体" w:hAnsi="宋体" w:eastAsia="宋体" w:cs="宋体"/>
                <w:color w:val="000000"/>
                <w:sz w:val="24"/>
                <w:szCs w:val="24"/>
                <w:highlight w:val="none"/>
                <w:lang w:val="en-US" w:eastAsia="zh-CN" w:bidi="ar-SA"/>
              </w:rPr>
              <w:t xml:space="preserve">客户服务1人：年龄不超过50周岁，身体健康；</w:t>
            </w:r>
            <w:bookmarkEnd w:id="177"/>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2、环境部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（1）保洁主管1人：年龄不超过50周岁，身体健康。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（2）保洁员不少于8人：男性年龄不超过63周岁，女性年龄不超过55周岁，身体健康。</w:t>
            </w:r>
            <w:r/>
          </w:p>
          <w:p>
            <w:pPr>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3、保安部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（1）安保主管：1人，年龄不超过50周岁，身体健康。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（2）秩序维护员：1</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人，年龄不超过50周岁，身体健康。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bookmarkStart w:id="178" w:name="OLE_LINK11"/>
            <w:r>
              <w:rPr>
                <w:rFonts w:hint="eastAsia" w:ascii="宋体" w:hAnsi="宋体" w:eastAsia="宋体" w:cs="宋体"/>
                <w:color w:val="000000"/>
                <w:sz w:val="24"/>
                <w:szCs w:val="24"/>
                <w:highlight w:val="none"/>
                <w:lang w:val="en-US" w:eastAsia="zh-CN" w:bidi="ar-SA"/>
              </w:rPr>
              <w:t xml:space="preserve">（3）消防监控员：2人，年龄不超过50周岁，身体健康。</w:t>
            </w:r>
            <w:bookmarkEnd w:id="178"/>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4、工程部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（1）维修主管1人：要求男性，年龄不超过50周岁，身体健康。</w:t>
            </w:r>
            <w:r/>
          </w:p>
          <w:p>
            <w:pPr>
              <w:jc w:val="left"/>
              <w:keepLines w:val="0"/>
              <w:keepNext w:val="0"/>
              <w:pageBreakBefore w:val="0"/>
              <w:spacing w:after="0" w:line="240" w:lineRule="auto"/>
              <w:widowControl w:val="off"/>
              <w:rPr>
                <w:rFonts w:ascii="宋体" w:hAnsi="宋体" w:eastAsia="宋体" w:cs="Times New Roman"/>
                <w:b w:val="0"/>
                <w:bCs w:val="0"/>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SA"/>
              </w:rPr>
              <w:t xml:space="preserve">（2）维修工不少于1人：要求男性，年龄不超过63周岁，身体健康。</w:t>
            </w:r>
            <w:r/>
          </w:p>
        </w:tc>
      </w:tr>
    </w:tbl>
    <w:p>
      <w:pPr>
        <w:numPr>
          <w:ilvl w:val="0"/>
          <w:numId w:val="0"/>
        </w:numPr>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采购包2：人数不得少于29人，</w:t>
      </w:r>
      <w:r>
        <w:rPr>
          <w:rFonts w:hint="eastAsia" w:ascii="宋体" w:hAnsi="宋体" w:eastAsia="宋体" w:cs="Times New Roman"/>
          <w:b w:val="0"/>
          <w:bCs w:val="0"/>
          <w:color w:val="000000"/>
          <w:sz w:val="24"/>
          <w:szCs w:val="24"/>
          <w:highlight w:val="none"/>
          <w:lang w:val="en-US" w:eastAsia="zh-CN"/>
        </w:rPr>
        <w:t xml:space="preserve">其中缴纳社保人数不低于总人数的</w:t>
      </w:r>
      <w:r>
        <w:rPr>
          <w:rFonts w:hint="eastAsia" w:ascii="宋体" w:hAnsi="宋体" w:cs="Times New Roman"/>
          <w:b w:val="0"/>
          <w:bCs w:val="0"/>
          <w:color w:val="000000"/>
          <w:sz w:val="24"/>
          <w:szCs w:val="24"/>
          <w:highlight w:val="none"/>
          <w:lang w:val="en-US" w:eastAsia="zh-CN"/>
        </w:rPr>
        <w:t xml:space="preserve">7</w:t>
      </w:r>
      <w:r>
        <w:rPr>
          <w:rFonts w:hint="eastAsia" w:ascii="宋体" w:hAnsi="宋体" w:eastAsia="宋体" w:cs="Times New Roman"/>
          <w:b w:val="0"/>
          <w:bCs w:val="0"/>
          <w:color w:val="000000"/>
          <w:sz w:val="24"/>
          <w:szCs w:val="24"/>
          <w:highlight w:val="none"/>
          <w:lang w:val="en-US" w:eastAsia="zh-CN"/>
        </w:rPr>
        <w:t xml:space="preserve">0%（2</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人），法定节假日在岗人数至少</w:t>
      </w:r>
      <w:r>
        <w:rPr>
          <w:rFonts w:ascii="宋体" w:hAnsi="宋体" w:eastAsia="宋体" w:cs="Times New Roman"/>
          <w:b w:val="0"/>
          <w:bCs w:val="0"/>
          <w:color w:val="000000"/>
          <w:sz w:val="24"/>
          <w:szCs w:val="24"/>
          <w:highlight w:val="none"/>
          <w:lang w:val="en-US" w:eastAsia="zh-CN"/>
        </w:rPr>
        <w:t xml:space="preserve">满足投入总人数的</w:t>
      </w:r>
      <w:r>
        <w:rPr>
          <w:rFonts w:hint="eastAsia" w:ascii="宋体" w:hAnsi="宋体" w:eastAsia="宋体" w:cs="Times New Roman"/>
          <w:b w:val="0"/>
          <w:bCs w:val="0"/>
          <w:color w:val="000000"/>
          <w:sz w:val="24"/>
          <w:szCs w:val="24"/>
          <w:highlight w:val="none"/>
          <w:lang w:val="en-US" w:eastAsia="zh-CN"/>
        </w:rPr>
        <w:t xml:space="preserve">50</w:t>
      </w:r>
      <w:r>
        <w:rPr>
          <w:rFonts w:ascii="宋体" w:hAnsi="宋体" w:eastAsia="宋体" w:cs="Times New Roman"/>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人）</w:t>
      </w:r>
      <w:r/>
    </w:p>
    <w:tbl>
      <w:tblPr>
        <w:tblStyle w:val="9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（1）项目经理1人：年龄不超过50周岁，身体健康；</w:t>
            </w:r>
            <w:r/>
          </w:p>
          <w:p>
            <w:pPr>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（2）客户服务1人：年龄不超过50周岁，身体健康；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2、环境部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（1）保洁主管1人：年龄不超过50周岁，身体健康。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（2）保洁员不少于7人：男性年龄不超过63周岁，女性年龄不超过55周岁，身体健康。</w:t>
            </w:r>
            <w:r/>
          </w:p>
          <w:p>
            <w:pPr>
              <w:jc w:val="left"/>
              <w:keepLines w:val="0"/>
              <w:keepNext w:val="0"/>
              <w:pageBreakBefore w:val="0"/>
              <w:spacing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3、保安部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（1）安保主管：1人，年龄不超过50周岁，身体健康。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（2）秩序维护员：1</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人，年龄不超过50周岁，身体健康。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（3）消防监控员：2人，年龄不超过50周岁，身体健康。</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4、工程部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（1）维修主管1人：要求男性，年龄不超过50周岁，身体健康。</w:t>
            </w:r>
            <w:r/>
          </w:p>
          <w:p>
            <w:pPr>
              <w:jc w:val="left"/>
              <w:keepLines w:val="0"/>
              <w:keepNext w:val="0"/>
              <w:pageBreakBefore w:val="0"/>
              <w:spacing w:after="0" w:line="240" w:lineRule="auto"/>
              <w:widowControl w:val="off"/>
              <w:rPr>
                <w:rFonts w:ascii="宋体" w:hAnsi="宋体" w:eastAsia="宋体" w:cs="Times New Roman"/>
                <w:b w:val="0"/>
                <w:bCs w:val="0"/>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SA"/>
              </w:rPr>
              <w:t xml:space="preserve">（2）维修工不少于1人：要求男性，年龄不超过63周岁，身体健康。</w:t>
            </w:r>
            <w:r/>
          </w:p>
        </w:tc>
      </w:tr>
    </w:tbl>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人员要求</w:t>
      </w:r>
      <w:r/>
    </w:p>
    <w:tbl>
      <w:tblPr>
        <w:tblStyle w:val="9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1.项目负责人：本科（含）以上学历（提供学历证书）；持物业项目经理证书；</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2、客户服务：大专（含）以上学历（提供学历证书）；</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3、保洁主管：大专（含）以上学历（提供学历证书）；</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4、安保主管：持高级保安证；</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5、消防监控员：持建（构）筑物消防员或消防设施操作员证；</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6、工程维修主管：持高、低压电工作业证；</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eastAsia="zh-CN"/>
              </w:rPr>
            </w:pPr>
            <w:r>
              <w:rPr>
                <w:rFonts w:hint="eastAsia" w:ascii="宋体" w:hAnsi="宋体" w:eastAsia="宋体" w:cs="宋体"/>
                <w:color w:val="000000"/>
                <w:sz w:val="24"/>
                <w:szCs w:val="24"/>
                <w:highlight w:val="none"/>
                <w:lang w:val="en-US" w:eastAsia="zh-CN" w:bidi="ar-SA"/>
              </w:rPr>
              <w:t xml:space="preserve">7、所有服务人员要求统一着装、持证上岗、尽职尽责、岗位职责明确。上班不迟到，不早退，不串岗、不闲谈、不干私事，认真履行岗位职责，服从管理，接收督促，及时整改。 </w:t>
            </w:r>
            <w:r>
              <w:rPr>
                <w:rFonts w:hint="eastAsia" w:ascii="宋体" w:hAnsi="宋体" w:eastAsia="宋体" w:cs="宋体"/>
                <w:color w:val="000000"/>
                <w:sz w:val="24"/>
                <w:szCs w:val="24"/>
                <w:highlight w:val="none"/>
                <w:lang w:eastAsia="zh-CN"/>
              </w:rPr>
              <w:t xml:space="preserve"> </w:t>
            </w:r>
            <w:r/>
          </w:p>
        </w:tc>
      </w:tr>
    </w:tbl>
    <w:p>
      <w:pPr>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p>
    <w:tbl>
      <w:tblPr>
        <w:tblStyle w:val="973"/>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keepLines w:val="0"/>
              <w:keepNext w:val="0"/>
              <w:pageBreakBefore w:val="0"/>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3.供应商不得利用服务区域内的采购人房产、物业、水电等资源从事经营活动，不能改变其使用性质。</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left"/>
              <w:keepLines w:val="0"/>
              <w:keepNext w:val="0"/>
              <w:pageBreakBefore w:val="0"/>
              <w:spacing w:after="0" w:line="240" w:lineRule="auto"/>
              <w:widowControl w:val="off"/>
              <w:rPr>
                <w:rFonts w:hint="eastAsia" w:ascii="宋体" w:hAnsi="宋体" w:eastAsia="宋体" w:cs="宋体"/>
                <w:b/>
                <w:bCs/>
                <w:color w:val="000000"/>
                <w:spacing w:val="-1"/>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SA"/>
              </w:rPr>
              <w:t xml:space="preserve">6.供应商负责配备用于物业管理服务的设备、机具、用具、易耗品（包括办公用品、安保器械、清洁耗材、工程维修用具）等，需满足服务实际需要以及采购人规定要求。</w:t>
            </w:r>
            <w:r/>
          </w:p>
        </w:tc>
      </w:tr>
    </w:tbl>
    <w:p>
      <w:pPr>
        <w:keepLines w:val="0"/>
        <w:keepNext w:val="0"/>
        <w:pageBreakBefore w:val="0"/>
        <w:spacing w:line="240" w:lineRule="auto"/>
        <w:widowControl w:val="off"/>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1.报价要求</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（1）供应商应</w:t>
      </w:r>
      <w:r>
        <w:rPr>
          <w:rFonts w:hint="eastAsia" w:ascii="宋体" w:hAnsi="宋体" w:eastAsia="宋体" w:cs="Times New Roman"/>
          <w:color w:val="000000"/>
          <w:sz w:val="24"/>
          <w:szCs w:val="24"/>
          <w:highlight w:val="none"/>
        </w:rPr>
        <w:t xml:space="preserve">按</w:t>
      </w:r>
      <w:r>
        <w:rPr>
          <w:rFonts w:hint="eastAsia" w:ascii="宋体" w:hAnsi="宋体" w:eastAsia="宋体" w:cs="Times New Roman"/>
          <w:color w:val="000000"/>
          <w:sz w:val="24"/>
          <w:szCs w:val="24"/>
          <w:highlight w:val="none"/>
          <w:lang w:val="en-US" w:eastAsia="zh-CN"/>
        </w:rPr>
        <w:t xml:space="preserve">要求填报</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报价明细表》（格式见第六章）</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报价应包括但不限于以下内容：</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p>
    <w:p>
      <w:p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rPr>
        <w:t xml:space="preserve">社会保险</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公积金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highlight w:val="none"/>
          <w:lang w:val="en-US" w:eastAsia="zh-CN"/>
        </w:rPr>
        <w:t xml:space="preserve">缴</w:t>
      </w:r>
      <w:r>
        <w:rPr>
          <w:rFonts w:hint="eastAsia" w:ascii="宋体" w:hAnsi="宋体" w:eastAsia="宋体" w:cs="Times New Roman"/>
          <w:color w:val="000000"/>
          <w:sz w:val="24"/>
          <w:szCs w:val="24"/>
          <w:highlight w:val="none"/>
        </w:rPr>
        <w:t xml:space="preserve">纳养老、工伤、失业、生育、医疗等</w:t>
      </w:r>
      <w:r>
        <w:rPr>
          <w:rFonts w:hint="eastAsia" w:ascii="宋体" w:hAnsi="宋体" w:eastAsia="宋体" w:cs="Times New Roman"/>
          <w:color w:val="000000"/>
          <w:sz w:val="24"/>
          <w:szCs w:val="24"/>
          <w:highlight w:val="none"/>
          <w:lang w:val="en-US" w:eastAsia="zh-CN"/>
        </w:rPr>
        <w:t xml:space="preserve">社会保险，缴费基数不得低于</w:t>
      </w:r>
      <w:r>
        <w:rPr>
          <w:rFonts w:hint="eastAsia" w:ascii="宋体" w:hAnsi="宋体" w:eastAsia="宋体" w:cs="Times New Roman"/>
          <w:bCs w:val="0"/>
          <w:color w:val="000000"/>
          <w:sz w:val="24"/>
          <w:szCs w:val="24"/>
          <w:highlight w:val="none"/>
          <w:lang w:val="en-US" w:eastAsia="zh-CN"/>
        </w:rPr>
        <w:t xml:space="preserve">省级人社部门现行文件</w:t>
      </w:r>
      <w:r>
        <w:rPr>
          <w:rFonts w:hint="eastAsia" w:ascii="宋体" w:hAnsi="宋体" w:eastAsia="宋体" w:cs="Times New Roman"/>
          <w:color w:val="000000"/>
          <w:sz w:val="24"/>
          <w:szCs w:val="24"/>
          <w:highlight w:val="none"/>
          <w:lang w:val="en-US" w:eastAsia="zh-CN"/>
        </w:rPr>
        <w:t xml:space="preserve">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w:t>
      </w:r>
      <w:r>
        <w:rPr>
          <w:rFonts w:hint="eastAsia" w:ascii="宋体" w:hAnsi="宋体" w:eastAsia="宋体" w:cs="Times New Roman"/>
          <w:color w:val="000000"/>
          <w:sz w:val="24"/>
          <w:szCs w:val="24"/>
          <w:highlight w:val="none"/>
          <w:lang w:val="en-US" w:eastAsia="zh-CN"/>
        </w:rPr>
        <w:t xml:space="preserve">《住房公积金管理条例》</w:t>
      </w:r>
      <w:r>
        <w:rPr>
          <w:rFonts w:hint="eastAsia" w:ascii="宋体" w:hAnsi="宋体" w:eastAsia="宋体" w:cs="Times New Roman"/>
          <w:bCs w:val="0"/>
          <w:color w:val="000000"/>
          <w:sz w:val="24"/>
          <w:szCs w:val="24"/>
          <w:highlight w:val="none"/>
          <w:lang w:val="en-US" w:eastAsia="zh-CN"/>
        </w:rPr>
        <w:t xml:space="preserve">等相关法律法规规定为员工</w:t>
      </w:r>
      <w:r>
        <w:rPr>
          <w:rFonts w:hint="eastAsia" w:ascii="宋体" w:hAnsi="宋体" w:eastAsia="宋体" w:cs="Times New Roman"/>
          <w:color w:val="000000"/>
          <w:sz w:val="24"/>
          <w:szCs w:val="24"/>
          <w:highlight w:val="none"/>
          <w:lang w:val="en-US" w:eastAsia="zh-CN"/>
        </w:rPr>
        <w:t xml:space="preserve">缴存住房公积金，缴存基数不得低于本市</w:t>
      </w:r>
      <w:r>
        <w:rPr>
          <w:rFonts w:hint="eastAsia" w:ascii="宋体" w:hAnsi="宋体" w:eastAsia="宋体" w:cs="Times New Roman"/>
          <w:color w:val="000000"/>
          <w:sz w:val="24"/>
          <w:szCs w:val="24"/>
          <w:highlight w:val="none"/>
        </w:rPr>
        <w:t xml:space="preserve">关于住房公积金缴存基数的</w:t>
      </w:r>
      <w:r>
        <w:rPr>
          <w:rFonts w:hint="eastAsia" w:ascii="宋体" w:hAnsi="宋体" w:eastAsia="宋体" w:cs="Times New Roman"/>
          <w:color w:val="000000"/>
          <w:sz w:val="24"/>
          <w:szCs w:val="24"/>
          <w:highlight w:val="none"/>
          <w:lang w:val="en-US" w:eastAsia="zh-CN"/>
        </w:rPr>
        <w:t xml:space="preserve">相关规定</w:t>
      </w:r>
      <w:r>
        <w:rPr>
          <w:rFonts w:hint="eastAsia" w:ascii="宋体" w:hAnsi="宋体" w:eastAsia="宋体" w:cs="Times New Roman"/>
          <w:color w:val="000000"/>
          <w:sz w:val="24"/>
          <w:szCs w:val="24"/>
          <w:highlight w:val="none"/>
          <w:lang w:eastAsia="zh-CN"/>
        </w:rPr>
        <w:t xml:space="preserve">。</w:t>
      </w:r>
      <w:r>
        <w:rPr>
          <w:rFonts w:hint="eastAsia" w:ascii="宋体" w:hAnsi="宋体" w:cs="宋体"/>
          <w:b/>
          <w:bCs/>
          <w:color w:val="000000"/>
          <w:sz w:val="24"/>
          <w:szCs w:val="24"/>
          <w:highlight w:val="none"/>
        </w:rPr>
        <w:t xml:space="preserve">供应商为投入本项目人员缴纳社保的人数不得低于总人数的</w:t>
      </w:r>
      <w:r>
        <w:rPr>
          <w:rFonts w:hint="eastAsia" w:ascii="宋体" w:hAnsi="宋体" w:cs="宋体"/>
          <w:b/>
          <w:bCs/>
          <w:color w:val="000000"/>
          <w:sz w:val="24"/>
          <w:szCs w:val="24"/>
          <w:highlight w:val="none"/>
          <w:lang w:val="en-US" w:eastAsia="zh-CN"/>
        </w:rPr>
        <w:t xml:space="preserve">7</w:t>
      </w:r>
      <w:r>
        <w:rPr>
          <w:rFonts w:hint="eastAsia" w:ascii="宋体" w:hAnsi="宋体" w:cs="宋体"/>
          <w:b/>
          <w:bCs/>
          <w:color w:val="000000"/>
          <w:sz w:val="24"/>
          <w:szCs w:val="24"/>
          <w:highlight w:val="none"/>
        </w:rPr>
        <w:t xml:space="preserve">0%，报价中不得低于上述比例要求，否则将视为无效投标。</w:t>
      </w:r>
      <w:r>
        <w:rPr>
          <w:rFonts w:hint="eastAsia" w:ascii="宋体" w:hAnsi="宋体" w:eastAsia="宋体" w:cs="Times New Roman"/>
          <w:b/>
          <w:bCs/>
          <w:color w:val="000000"/>
          <w:sz w:val="24"/>
          <w:szCs w:val="24"/>
          <w:highlight w:val="none"/>
          <w:lang w:val="en-US" w:eastAsia="zh-CN"/>
        </w:rPr>
        <w:t xml:space="preserve">如供应商拟投入本项目人员中有依法享受社保、住房公积金等减免政策的，须在《磋商报价明细表》后附相应说明，未说明且报价中社保、公积金等不符合现行规定的将被视为未实质性响应磋商文件。成交结果发布后签订合同前成交供应商应向采购人提供符合减免政策的证明材料，无法提供</w:t>
      </w:r>
      <w:r>
        <w:rPr>
          <w:rFonts w:hint="eastAsia" w:ascii="宋体" w:hAnsi="宋体" w:eastAsia="宋体" w:cs="Times New Roman"/>
          <w:b/>
          <w:bCs/>
          <w:i w:val="0"/>
          <w:iCs w:val="0"/>
          <w:color w:val="000000"/>
          <w:sz w:val="24"/>
          <w:szCs w:val="24"/>
          <w:highlight w:val="none"/>
          <w:u w:val="none"/>
          <w:lang w:val="en-US" w:eastAsia="zh-CN"/>
        </w:rPr>
        <w:t xml:space="preserve">或证明材料与该表后所附说明不符</w:t>
      </w:r>
      <w:r>
        <w:rPr>
          <w:rFonts w:hint="eastAsia" w:ascii="宋体" w:hAnsi="宋体" w:eastAsia="宋体" w:cs="Times New Roman"/>
          <w:b/>
          <w:bCs/>
          <w:color w:val="000000"/>
          <w:sz w:val="24"/>
          <w:szCs w:val="24"/>
          <w:highlight w:val="none"/>
          <w:lang w:val="en-US" w:eastAsia="zh-CN"/>
        </w:rPr>
        <w:t xml:space="preserve">的将被视为虚假响应，取消成交资格。</w:t>
      </w:r>
      <w:r/>
    </w:p>
    <w:p>
      <w:pPr>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highlight w:val="none"/>
          <w:u w:val="none"/>
          <w:lang w:val="en-US" w:eastAsia="zh-CN"/>
        </w:rPr>
        <w:suppressLineNumbers w:val="0"/>
      </w:pPr>
      <w:r>
        <w:rPr>
          <w:rFonts w:hint="eastAsia" w:ascii="宋体" w:hAnsi="宋体" w:eastAsia="宋体" w:cs="Times New Roman"/>
          <w:bCs w:val="0"/>
          <w:color w:val="000000"/>
          <w:sz w:val="24"/>
          <w:szCs w:val="24"/>
          <w:highlight w:val="none"/>
          <w:lang w:val="en-US" w:eastAsia="zh-CN"/>
        </w:rPr>
        <w:t xml:space="preserve">③</w:t>
      </w:r>
      <w:r>
        <w:rPr>
          <w:rFonts w:hint="eastAsia" w:ascii="宋体" w:hAnsi="宋体" w:eastAsia="宋体" w:cs="Times New Roman"/>
          <w:color w:val="000000"/>
          <w:sz w:val="24"/>
          <w:szCs w:val="24"/>
          <w:highlight w:val="none"/>
          <w:lang w:val="en-US" w:eastAsia="zh-CN"/>
        </w:rPr>
        <w:t xml:space="preserve">法定节假日工资</w:t>
      </w:r>
      <w:r>
        <w:rPr>
          <w:rFonts w:hint="eastAsia" w:ascii="宋体" w:hAnsi="宋体" w:eastAsia="宋体" w:cs="Times New Roman"/>
          <w:color w:val="000000"/>
          <w:sz w:val="24"/>
          <w:szCs w:val="24"/>
          <w:highlight w:val="none"/>
        </w:rPr>
        <w:t xml:space="preserve">、超时工资和加班工资</w:t>
      </w:r>
      <w:r>
        <w:rPr>
          <w:rFonts w:hint="eastAsia" w:ascii="宋体" w:hAnsi="宋体" w:eastAsia="宋体" w:cs="Times New Roman"/>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本项目物业管理服务</w:t>
      </w:r>
      <w:r>
        <w:rPr>
          <w:rFonts w:hint="eastAsia" w:ascii="宋体" w:hAnsi="宋体" w:eastAsia="宋体" w:cs="Times New Roman"/>
          <w:i w:val="0"/>
          <w:iCs w:val="0"/>
          <w:color w:val="000000"/>
          <w:sz w:val="24"/>
          <w:szCs w:val="24"/>
          <w:highlight w:val="none"/>
          <w:u w:val="none"/>
          <w:lang w:val="en-US" w:eastAsia="zh-CN"/>
        </w:rPr>
        <w:t xml:space="preserve">法定节假日在岗人数至少</w:t>
      </w:r>
      <w:r>
        <w:rPr>
          <w:rFonts w:hint="eastAsia" w:ascii="宋体" w:hAnsi="宋体" w:eastAsia="宋体" w:cs="宋体"/>
          <w:i w:val="0"/>
          <w:iCs w:val="0"/>
          <w:color w:val="000000"/>
          <w:sz w:val="24"/>
          <w:szCs w:val="24"/>
          <w:highlight w:val="none"/>
          <w:u w:val="none"/>
          <w:lang w:val="en-US" w:eastAsia="zh-CN"/>
        </w:rPr>
        <w:t xml:space="preserve">满足投入总人数的</w:t>
      </w:r>
      <w:r>
        <w:rPr>
          <w:rFonts w:hint="eastAsia" w:ascii="宋体" w:hAnsi="宋体" w:eastAsia="宋体" w:cs="宋体"/>
          <w:b/>
          <w:bCs/>
          <w:i w:val="0"/>
          <w:iCs w:val="0"/>
          <w:color w:val="000000"/>
          <w:sz w:val="24"/>
          <w:szCs w:val="24"/>
          <w:highlight w:val="none"/>
          <w:u w:val="none"/>
          <w:lang w:val="en-US" w:eastAsia="zh-CN"/>
        </w:rPr>
        <w:t xml:space="preserve">50%，</w:t>
      </w:r>
      <w:r>
        <w:rPr>
          <w:rFonts w:hint="eastAsia" w:ascii="宋体" w:hAnsi="宋体" w:eastAsia="宋体" w:cs="Times New Roman"/>
          <w:i w:val="0"/>
          <w:iCs w:val="0"/>
          <w:color w:val="000000"/>
          <w:sz w:val="24"/>
          <w:szCs w:val="24"/>
          <w:highlight w:val="none"/>
          <w:u w:val="none"/>
          <w:lang w:val="en-US" w:eastAsia="zh-CN"/>
        </w:rPr>
        <w:t xml:space="preserve">报价中的法定节假日人员加班费不得低于上述要求，否则作无效响应处理。</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w:t>
      </w:r>
      <w:r>
        <w:rPr>
          <w:rFonts w:hint="eastAsia" w:ascii="宋体" w:hAnsi="宋体" w:eastAsia="宋体" w:cs="Times New Roman"/>
          <w:color w:val="000000"/>
          <w:sz w:val="24"/>
          <w:szCs w:val="24"/>
          <w:highlight w:val="none"/>
        </w:rPr>
        <w:t xml:space="preserve">法定税费</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供应商应依法缴纳税费，</w:t>
      </w:r>
      <w:r>
        <w:rPr>
          <w:rFonts w:hint="eastAsia" w:ascii="宋体" w:hAnsi="宋体" w:eastAsia="宋体" w:cs="Times New Roman"/>
          <w:b/>
          <w:bCs/>
          <w:color w:val="000000"/>
          <w:sz w:val="24"/>
          <w:szCs w:val="24"/>
          <w:highlight w:val="none"/>
          <w:lang w:val="en-US" w:eastAsia="zh-CN"/>
        </w:rPr>
        <w:t xml:space="preserve">如享受税费优惠政策的，须在《磋商报价明细表》后附证明材料，否则作无效响应处理。</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⑤清洁耗材费：投标人应将服务过程中所有使用的耗材（包括但不限于：扫把、地推、垃圾袋、抽纸、洗手液、厕所卷纸、消毒液、洁厕灵等）费用考虑到投标报价中，以往各分包每年约5万元。供应商投标报价时，应充分考虑该因素，合理报价。供应商一旦中标，将按照供应商报价执行，不予调整。</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⑥其他费用：</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磋商</w:t>
      </w:r>
      <w:r>
        <w:rPr>
          <w:rFonts w:hint="eastAsia" w:ascii="宋体" w:hAnsi="宋体" w:eastAsia="宋体" w:cs="Times New Roman"/>
          <w:b w:val="0"/>
          <w:bCs w:val="0"/>
          <w:color w:val="000000"/>
          <w:sz w:val="24"/>
          <w:szCs w:val="24"/>
          <w:highlight w:val="none"/>
          <w:lang w:eastAsia="zh-CN"/>
        </w:rPr>
        <w:t xml:space="preserve">报价明细表》</w:t>
      </w:r>
      <w:r>
        <w:rPr>
          <w:rFonts w:hint="eastAsia" w:ascii="宋体" w:hAnsi="宋体" w:eastAsia="宋体" w:cs="Times New Roman"/>
          <w:b w:val="0"/>
          <w:bCs w:val="0"/>
          <w:color w:val="000000"/>
          <w:sz w:val="24"/>
          <w:szCs w:val="24"/>
          <w:highlight w:val="none"/>
          <w:lang w:val="en-US" w:eastAsia="zh-CN"/>
        </w:rPr>
        <w:t xml:space="preserve">中供应商认为完成本项目物业管理服务可能产生的其他相关费用。</w:t>
      </w:r>
      <w:r/>
    </w:p>
    <w:p>
      <w:p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（2）供应商未按</w:t>
      </w:r>
      <w:r>
        <w:rPr>
          <w:rFonts w:hint="eastAsia" w:ascii="宋体" w:hAnsi="宋体" w:eastAsia="宋体" w:cs="Times New Roman"/>
          <w:color w:val="000000"/>
          <w:sz w:val="24"/>
          <w:szCs w:val="24"/>
          <w:highlight w:val="none"/>
        </w:rPr>
        <w:t xml:space="preserve">政策</w:t>
      </w:r>
      <w:r>
        <w:rPr>
          <w:rFonts w:hint="eastAsia" w:ascii="宋体" w:hAnsi="宋体" w:eastAsia="宋体" w:cs="Times New Roman"/>
          <w:color w:val="000000"/>
          <w:sz w:val="24"/>
          <w:szCs w:val="24"/>
          <w:highlight w:val="none"/>
          <w:lang w:eastAsia="zh-CN"/>
        </w:rPr>
        <w:t xml:space="preserve">规定</w:t>
      </w:r>
      <w:r>
        <w:rPr>
          <w:rFonts w:hint="eastAsia" w:ascii="宋体" w:hAnsi="宋体" w:eastAsia="宋体" w:cs="Times New Roman"/>
          <w:color w:val="000000"/>
          <w:sz w:val="24"/>
          <w:szCs w:val="24"/>
          <w:highlight w:val="none"/>
        </w:rPr>
        <w:t xml:space="preserve">报价</w:t>
      </w:r>
      <w:r>
        <w:rPr>
          <w:rFonts w:hint="eastAsia" w:ascii="宋体" w:hAnsi="宋体" w:eastAsia="宋体" w:cs="Times New Roman"/>
          <w:color w:val="000000"/>
          <w:sz w:val="24"/>
          <w:szCs w:val="24"/>
          <w:highlight w:val="none"/>
          <w:lang w:eastAsia="zh-CN"/>
        </w:rPr>
        <w:t xml:space="preserve">、未依法缴纳税费，</w:t>
      </w:r>
      <w:r>
        <w:rPr>
          <w:rFonts w:hint="eastAsia" w:ascii="宋体" w:hAnsi="宋体" w:eastAsia="宋体" w:cs="Times New Roman"/>
          <w:color w:val="000000"/>
          <w:sz w:val="24"/>
          <w:szCs w:val="24"/>
          <w:highlight w:val="none"/>
          <w:lang w:val="en-US" w:eastAsia="zh-CN"/>
        </w:rPr>
        <w:t xml:space="preserve">或者《磋商报价明细表》中列明的</w:t>
      </w:r>
      <w:r>
        <w:rPr>
          <w:rFonts w:hint="eastAsia" w:ascii="宋体" w:hAnsi="宋体" w:eastAsia="宋体" w:cs="Times New Roman"/>
          <w:color w:val="000000"/>
          <w:sz w:val="24"/>
          <w:szCs w:val="24"/>
          <w:highlight w:val="none"/>
        </w:rPr>
        <w:t xml:space="preserve">分项报价为“零”</w:t>
      </w:r>
      <w:r>
        <w:rPr>
          <w:rFonts w:hint="eastAsia" w:ascii="宋体" w:hAnsi="宋体" w:eastAsia="宋体" w:cs="Times New Roman"/>
          <w:color w:val="000000"/>
          <w:sz w:val="24"/>
          <w:szCs w:val="24"/>
          <w:highlight w:val="none"/>
          <w:lang w:val="en-US" w:eastAsia="zh-CN"/>
        </w:rPr>
        <w:t xml:space="preserve">或负数的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其他费用可以为</w:t>
      </w:r>
      <w:r>
        <w:rPr>
          <w:rFonts w:hint="eastAsia" w:ascii="宋体" w:hAnsi="宋体" w:eastAsia="宋体" w:cs="Times New Roman"/>
          <w:color w:val="000000"/>
          <w:sz w:val="24"/>
          <w:szCs w:val="24"/>
          <w:highlight w:val="none"/>
        </w:rPr>
        <w:t xml:space="preserve">“零”</w:t>
      </w:r>
      <w:r>
        <w:rPr>
          <w:rFonts w:hint="eastAsia" w:ascii="宋体" w:hAnsi="宋体" w:eastAsia="宋体" w:cs="Times New Roman"/>
          <w:color w:val="000000"/>
          <w:sz w:val="24"/>
          <w:szCs w:val="24"/>
          <w:highlight w:val="none"/>
          <w:lang w:val="en-US" w:eastAsia="zh-CN"/>
        </w:rPr>
        <w:t xml:space="preserve">但不得为负数</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，按无效</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处理。因</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疏忽、计算错误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导致报价表中数据错误</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缺漏的，</w:t>
      </w:r>
      <w:r>
        <w:rPr>
          <w:rFonts w:hint="eastAsia" w:ascii="宋体" w:hAnsi="宋体" w:eastAsia="宋体" w:cs="Times New Roman"/>
          <w:color w:val="000000"/>
          <w:sz w:val="24"/>
          <w:szCs w:val="24"/>
          <w:highlight w:val="none"/>
          <w:lang w:val="en-US" w:eastAsia="zh-CN"/>
        </w:rPr>
        <w:t xml:space="preserve">自行</w:t>
      </w:r>
      <w:r>
        <w:rPr>
          <w:rFonts w:hint="eastAsia" w:ascii="宋体" w:hAnsi="宋体" w:eastAsia="宋体" w:cs="Times New Roman"/>
          <w:color w:val="000000"/>
          <w:sz w:val="24"/>
          <w:szCs w:val="24"/>
          <w:highlight w:val="none"/>
        </w:rPr>
        <w:t xml:space="preserve">承担相应责任。</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法律法规、</w:t>
      </w:r>
      <w:r>
        <w:rPr>
          <w:rFonts w:hint="eastAsia" w:ascii="宋体" w:hAnsi="宋体" w:eastAsia="宋体" w:cs="Times New Roman"/>
          <w:b w:val="0"/>
          <w:bCs w:val="0"/>
          <w:color w:val="000000"/>
          <w:sz w:val="24"/>
          <w:szCs w:val="24"/>
          <w:highlight w:val="none"/>
          <w:lang w:eastAsia="zh-CN"/>
        </w:rPr>
        <w:t xml:space="preserve">政策文件有更新</w:t>
      </w:r>
      <w:r>
        <w:rPr>
          <w:rFonts w:hint="eastAsia" w:ascii="宋体" w:hAnsi="宋体" w:eastAsia="宋体" w:cs="Times New Roman"/>
          <w:b w:val="0"/>
          <w:bCs w:val="0"/>
          <w:color w:val="000000"/>
          <w:sz w:val="24"/>
          <w:szCs w:val="24"/>
          <w:highlight w:val="none"/>
          <w:lang w:val="en-US" w:eastAsia="zh-CN"/>
        </w:rPr>
        <w:t xml:space="preserve">或另有规定</w:t>
      </w:r>
      <w:r>
        <w:rPr>
          <w:rFonts w:hint="eastAsia" w:ascii="宋体" w:hAnsi="宋体" w:eastAsia="宋体" w:cs="Times New Roman"/>
          <w:b w:val="0"/>
          <w:bCs w:val="0"/>
          <w:color w:val="000000"/>
          <w:sz w:val="24"/>
          <w:szCs w:val="24"/>
          <w:highlight w:val="none"/>
          <w:lang w:eastAsia="zh-CN"/>
        </w:rPr>
        <w:t xml:space="preserve">的，</w:t>
      </w:r>
      <w:r>
        <w:rPr>
          <w:rFonts w:hint="eastAsia" w:ascii="宋体" w:hAnsi="宋体" w:eastAsia="宋体" w:cs="Times New Roman"/>
          <w:b w:val="0"/>
          <w:bCs w:val="0"/>
          <w:color w:val="000000"/>
          <w:sz w:val="24"/>
          <w:szCs w:val="24"/>
          <w:highlight w:val="none"/>
          <w:lang w:val="en-US" w:eastAsia="zh-CN"/>
        </w:rPr>
        <w:t xml:space="preserve">从其规定</w:t>
      </w:r>
      <w:r>
        <w:rPr>
          <w:rFonts w:hint="eastAsia" w:ascii="宋体" w:hAnsi="宋体" w:eastAsia="宋体" w:cs="Times New Roman"/>
          <w:b w:val="0"/>
          <w:bCs w:val="0"/>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（1）采购人于合同签订后支付合同总价款的10%作为预付款，剩余合同款</w:t>
      </w:r>
      <w:r>
        <w:rPr>
          <w:rFonts w:hint="eastAsia" w:ascii="宋体" w:hAnsi="宋体" w:cs="Times New Roman"/>
          <w:color w:val="000000"/>
          <w:sz w:val="24"/>
          <w:szCs w:val="24"/>
          <w:highlight w:val="none"/>
          <w:lang w:val="en-US" w:eastAsia="zh-CN"/>
        </w:rPr>
        <w:t xml:space="preserve">按季支付，考核扣除的费用从应支付的价款中扣除</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注：满足合同约定支付条件的，采购人收到供应商发票后10个工作日内，将资金支付到合同约定的供应商账户。</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（2）合同履约期间，如遇最低工资、社保和公积金等政策调整，供应商与采购人可以就合同费用进行协商。</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（1）服务期限：自合同签订之日起为期一年</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rPr>
        <w:t xml:space="preserve">.</w:t>
      </w:r>
      <w:r>
        <w:rPr>
          <w:rFonts w:hint="eastAsia" w:ascii="宋体" w:hAnsi="宋体" w:eastAsia="宋体" w:cs="宋体"/>
          <w:b w:val="0"/>
          <w:bCs w:val="0"/>
          <w:color w:val="000000"/>
          <w:spacing w:val="0"/>
          <w:sz w:val="24"/>
          <w:szCs w:val="24"/>
          <w:highlight w:val="none"/>
          <w:lang w:val="en-US" w:eastAsia="zh-CN"/>
        </w:rPr>
        <w:t xml:space="preserve">考核要求</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pacing w:val="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val="0"/>
          <w:bCs w:val="0"/>
          <w:color w:val="000000"/>
          <w:spacing w:val="0"/>
          <w:sz w:val="24"/>
          <w:szCs w:val="24"/>
          <w:highlight w:val="none"/>
          <w:lang w:val="en-US" w:eastAsia="zh-CN"/>
        </w:rPr>
        <w:t xml:space="preserve">）</w:t>
      </w:r>
      <w:r>
        <w:rPr>
          <w:rFonts w:hint="eastAsia" w:ascii="宋体" w:hAnsi="宋体" w:eastAsia="宋体" w:cs="宋体"/>
          <w:color w:val="000000"/>
          <w:sz w:val="24"/>
          <w:szCs w:val="24"/>
          <w:highlight w:val="none"/>
        </w:rPr>
        <w:t xml:space="preserve">采购人在每个合同期间内对</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供应商的服务质量开展二次满意度调查，满意度不低于90%（含），每低1%扣减服务费2000元，员工</w:t>
      </w:r>
      <w:r>
        <w:rPr>
          <w:rFonts w:hint="eastAsia" w:ascii="宋体" w:hAnsi="宋体" w:cs="宋体"/>
          <w:color w:val="000000"/>
          <w:sz w:val="24"/>
          <w:szCs w:val="24"/>
          <w:highlight w:val="none"/>
          <w:lang w:val="en-US" w:eastAsia="zh-CN"/>
        </w:rPr>
        <w:t xml:space="preserve">对服务</w:t>
      </w:r>
      <w:r>
        <w:rPr>
          <w:rFonts w:hint="eastAsia" w:ascii="宋体" w:hAnsi="宋体" w:eastAsia="宋体" w:cs="宋体"/>
          <w:color w:val="000000"/>
          <w:sz w:val="24"/>
          <w:szCs w:val="24"/>
          <w:highlight w:val="none"/>
        </w:rPr>
        <w:t xml:space="preserve">满意度低于80%的，采购人有权终止采购合同。</w:t>
      </w:r>
      <w:r>
        <w:rPr>
          <w:rFonts w:hint="eastAsia" w:ascii="宋体" w:hAnsi="宋体" w:eastAsia="宋体"/>
          <w:color w:val="000000"/>
          <w:sz w:val="24"/>
          <w:szCs w:val="24"/>
          <w:highlight w:val="none"/>
          <w:lang w:val="en-US" w:eastAsia="zh-CN"/>
        </w:rPr>
        <w:t xml:space="preserve">（考核细则详见附件）</w:t>
      </w:r>
      <w:r/>
    </w:p>
    <w:p>
      <w:pPr>
        <w:numPr>
          <w:ilvl w:val="0"/>
          <w:numId w:val="0"/>
        </w:numPr>
        <w:ind w:firstLine="480"/>
        <w:jc w:val="left"/>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采购人不定期对</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供应商的服务质量进行巡查，保安、保洁、</w:t>
      </w:r>
      <w:r>
        <w:rPr>
          <w:rFonts w:hint="eastAsia" w:ascii="宋体" w:hAnsi="宋体" w:eastAsia="宋体" w:cs="宋体"/>
          <w:color w:val="000000"/>
          <w:sz w:val="24"/>
          <w:szCs w:val="24"/>
          <w:highlight w:val="none"/>
          <w:lang w:eastAsia="zh-CN"/>
        </w:rPr>
        <w:t xml:space="preserve">工程、宿管</w:t>
      </w:r>
      <w:r>
        <w:rPr>
          <w:rFonts w:hint="eastAsia" w:ascii="宋体" w:hAnsi="宋体" w:eastAsia="宋体" w:cs="宋体"/>
          <w:color w:val="000000"/>
          <w:sz w:val="24"/>
          <w:szCs w:val="24"/>
          <w:highlight w:val="none"/>
        </w:rPr>
        <w:t xml:space="preserve">等人员出现违反岗位服务标准的不文明情况</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，每发现</w:t>
      </w:r>
      <w:r>
        <w:rPr>
          <w:rFonts w:ascii="宋体" w:hAnsi="宋体" w:eastAsia="宋体" w:cs="宋体"/>
          <w:color w:val="000000"/>
          <w:sz w:val="24"/>
          <w:szCs w:val="24"/>
          <w:highlight w:val="none"/>
          <w:lang w:val="en-US"/>
        </w:rPr>
        <w:t xml:space="preserve">一</w:t>
      </w:r>
      <w:r>
        <w:rPr>
          <w:rFonts w:hint="eastAsia" w:ascii="宋体" w:hAnsi="宋体" w:eastAsia="宋体" w:cs="宋体"/>
          <w:color w:val="000000"/>
          <w:sz w:val="24"/>
          <w:szCs w:val="24"/>
          <w:highlight w:val="none"/>
        </w:rPr>
        <w:t xml:space="preserve">次，扣减服务费200元。</w:t>
      </w:r>
      <w:r/>
    </w:p>
    <w:p>
      <w:pPr>
        <w:ind w:firstLine="480"/>
        <w:keepLines w:val="0"/>
        <w:keepNext w:val="0"/>
        <w:pageBreakBefore w:val="0"/>
        <w:spacing w:line="240" w:lineRule="auto"/>
        <w:widowControl w:val="off"/>
        <w:rPr>
          <w:rFonts w:ascii="宋体" w:hAnsi="宋体" w:eastAsia="宋体" w:cs="宋体"/>
          <w:b/>
          <w:bCs/>
          <w:color w:val="000000"/>
          <w:spacing w:val="-1"/>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供应商人员未经采购人同意发生变动，每变动</w:t>
      </w:r>
      <w:r>
        <w:rPr>
          <w:rFonts w:ascii="宋体" w:hAnsi="宋体" w:eastAsia="宋体" w:cs="宋体"/>
          <w:color w:val="000000"/>
          <w:sz w:val="24"/>
          <w:szCs w:val="24"/>
          <w:highlight w:val="none"/>
          <w:lang w:val="en-US"/>
        </w:rPr>
        <w:t xml:space="preserve">一</w:t>
      </w:r>
      <w:r>
        <w:rPr>
          <w:rFonts w:hint="eastAsia" w:ascii="宋体" w:hAnsi="宋体" w:eastAsia="宋体" w:cs="宋体"/>
          <w:color w:val="000000"/>
          <w:sz w:val="24"/>
          <w:szCs w:val="24"/>
          <w:highlight w:val="none"/>
        </w:rPr>
        <w:t xml:space="preserve">人扣减服务费500元；因中标供应商责任导致人员的年龄、学历、技能、工作经历、薪酬等违反服务要求</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，每发现一起扣减服务费500元。</w:t>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p>
    <w:p>
      <w:pPr>
        <w:keepLines w:val="0"/>
        <w:keepNext w:val="0"/>
        <w:pageBreakBefore w:val="0"/>
        <w:spacing w:line="240"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磋商小组根据综合评分情况，按照评审得分由高到低顺序推荐</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名成交候选供应商，并编写评审报告。符合本磋商文件第二章第2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.1.2条情形的，</w:t>
      </w:r>
      <w:r>
        <w:rPr>
          <w:rFonts w:hint="eastAsia" w:ascii="宋体" w:hAnsi="宋体" w:eastAsia="宋体" w:cs="宋体"/>
          <w:color w:val="000000"/>
          <w:sz w:val="24"/>
          <w:szCs w:val="24"/>
          <w:highlight w:val="none"/>
          <w:lang w:val="en-US" w:eastAsia="zh-CN"/>
        </w:rPr>
        <w:t xml:space="preserve">磋商小组可以推荐1-2名</w:t>
      </w:r>
      <w:r>
        <w:rPr>
          <w:rFonts w:hint="eastAsia" w:ascii="宋体" w:hAnsi="宋体" w:eastAsia="宋体" w:cs="宋体"/>
          <w:color w:val="000000"/>
          <w:sz w:val="24"/>
          <w:szCs w:val="24"/>
          <w:highlight w:val="none"/>
        </w:rPr>
        <w:t xml:space="preserve">成交候选供应商。评审得分相同的，按照最后报价由低到高的顺序推荐。评审得分且最后报价相同的，按照</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2.1-2.6项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顺序推荐。</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二、政府采购政策功能落实</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u w:val="none"/>
          <w:lang w:val="zh-CN" w:eastAsia="zh-CN"/>
        </w:rPr>
        <w:t xml:space="preserve">%</w:t>
      </w:r>
      <w:r>
        <w:rPr>
          <w:rFonts w:hint="eastAsia" w:ascii="宋体" w:hAnsi="宋体" w:eastAsia="宋体" w:cs="宋体"/>
          <w:color w:val="000000"/>
          <w:sz w:val="24"/>
          <w:szCs w:val="24"/>
          <w:highlight w:val="none"/>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3.</w:t>
      </w:r>
      <w:r>
        <w:rPr>
          <w:rFonts w:hint="eastAsia" w:ascii="宋体" w:hAnsi="宋体" w:eastAsia="宋体" w:cs="宋体"/>
          <w:b/>
          <w:bCs/>
          <w:color w:val="000000"/>
          <w:sz w:val="24"/>
          <w:szCs w:val="24"/>
          <w:highlight w:val="none"/>
          <w:u w:val="none"/>
          <w:lang w:eastAsia="zh-CN"/>
        </w:rPr>
        <w:t xml:space="preserve">上述价格扣除政策仅适用</w:t>
      </w:r>
      <w:r>
        <w:rPr>
          <w:rFonts w:hint="eastAsia" w:ascii="宋体" w:hAnsi="宋体" w:eastAsia="宋体" w:cs="宋体"/>
          <w:b/>
          <w:bCs/>
          <w:color w:val="000000"/>
          <w:sz w:val="24"/>
          <w:szCs w:val="24"/>
          <w:highlight w:val="none"/>
          <w:u w:val="none"/>
          <w:lang w:val="en-US" w:eastAsia="zh-CN"/>
        </w:rPr>
        <w:t xml:space="preserve">于</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非</w:t>
      </w:r>
      <w:r>
        <w:rPr>
          <w:rFonts w:hint="eastAsia" w:ascii="宋体" w:hAnsi="宋体" w:eastAsia="宋体" w:cs="宋体"/>
          <w:b/>
          <w:bCs/>
          <w:color w:val="000000"/>
          <w:sz w:val="24"/>
          <w:szCs w:val="24"/>
          <w:highlight w:val="none"/>
          <w:u w:val="none"/>
          <w:lang w:eastAsia="zh-CN"/>
        </w:rPr>
        <w:t xml:space="preserve">专门面向中小企业采购项目”</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（1）本项目如专门面向中小企业采购，则不执行价格扣除政策，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如允许</w:t>
      </w:r>
      <w:r>
        <w:rPr>
          <w:rFonts w:hint="eastAsia" w:ascii="宋体" w:hAnsi="宋体" w:eastAsia="宋体" w:cs="宋体"/>
          <w:color w:val="000000"/>
          <w:sz w:val="24"/>
          <w:szCs w:val="24"/>
          <w:highlight w:val="none"/>
        </w:rPr>
        <w:t xml:space="preserve">联合体参加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允许</w:t>
      </w:r>
      <w:r>
        <w:rPr>
          <w:rFonts w:hint="eastAsia" w:ascii="宋体" w:hAnsi="宋体" w:eastAsia="宋体" w:cs="宋体"/>
          <w:color w:val="000000"/>
          <w:sz w:val="24"/>
          <w:szCs w:val="24"/>
          <w:highlight w:val="none"/>
        </w:rPr>
        <w:t xml:space="preserve">分包履行合同,大中型企业与小微型企业（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4%</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p>
    <w:p>
      <w:pPr>
        <w:pStyle w:val="753"/>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采购包1、采购包2</w:t>
      </w:r>
      <w:r/>
    </w:p>
    <w:tbl>
      <w:tblPr>
        <w:tblStyle w:val="1015"/>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738"/>
        <w:gridCol w:w="451"/>
        <w:gridCol w:w="783"/>
      </w:tblGrid>
      <w:tr>
        <w:trPr>
          <w:jc w:val="center"/>
          <w:tblHeader/>
        </w:trPr>
        <w:tc>
          <w:tcPr>
            <w:tcW w:w="519" w:type="dxa"/>
            <w:vAlign w:val="top"/>
            <w:textDirection w:val="lrTb"/>
            <w:noWrap w:val="false"/>
          </w:tcPr>
          <w:p>
            <w:pPr>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序号</w:t>
            </w:r>
            <w:r/>
          </w:p>
        </w:tc>
        <w:tc>
          <w:tcPr>
            <w:tcW w:w="1179" w:type="dxa"/>
            <w:vAlign w:val="top"/>
            <w:textDirection w:val="lrTb"/>
            <w:noWrap w:val="false"/>
          </w:tcPr>
          <w:p>
            <w:pPr>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评审因素</w:t>
            </w:r>
            <w:r/>
          </w:p>
        </w:tc>
        <w:tc>
          <w:tcPr>
            <w:tcW w:w="6738" w:type="dxa"/>
            <w:vAlign w:val="top"/>
            <w:textDirection w:val="lrTb"/>
            <w:noWrap w:val="false"/>
          </w:tcPr>
          <w:p>
            <w:pPr>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评审细则</w:t>
            </w:r>
            <w:r/>
          </w:p>
        </w:tc>
        <w:tc>
          <w:tcPr>
            <w:tcW w:w="451" w:type="dxa"/>
            <w:vAlign w:val="top"/>
            <w:textDirection w:val="lrTb"/>
            <w:noWrap w:val="false"/>
          </w:tcPr>
          <w:p>
            <w:pPr>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分值</w:t>
            </w:r>
            <w:r/>
          </w:p>
        </w:tc>
        <w:tc>
          <w:tcPr>
            <w:tcW w:w="783" w:type="dxa"/>
            <w:vAlign w:val="top"/>
            <w:textDirection w:val="lrTb"/>
            <w:noWrap w:val="false"/>
          </w:tcPr>
          <w:p>
            <w:pPr>
              <w:jc w:val="center"/>
              <w:keepLines w:val="0"/>
              <w:keepNext w:val="0"/>
              <w:pageBreakBefore w:val="0"/>
              <w:spacing w:before="264" w:line="240"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类型</w:t>
            </w:r>
            <w:r/>
          </w:p>
        </w:tc>
      </w:tr>
      <w:tr>
        <w:trPr>
          <w:jc w:val="center"/>
        </w:trPr>
        <w:tc>
          <w:tcPr>
            <w:gridSpan w:val="5"/>
            <w:tcW w:w="9670" w:type="dxa"/>
            <w:vAlign w:val="top"/>
            <w:textDirection w:val="lrTb"/>
            <w:noWrap w:val="false"/>
          </w:tcPr>
          <w:p>
            <w:pPr>
              <w:ind w:left="114"/>
              <w:keepLines w:val="0"/>
              <w:keepNext w:val="0"/>
              <w:pageBreakBefore w:val="0"/>
              <w:spacing w:before="122" w:line="240"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hint="eastAsia" w:ascii="宋体" w:hAnsi="宋体" w:cs="宋体"/>
                <w:b/>
                <w:bCs/>
                <w:color w:val="000000"/>
                <w:spacing w:val="-3"/>
                <w:highlight w:val="none"/>
                <w:lang w:val="en-US" w:eastAsia="zh-CN"/>
              </w:rPr>
              <w:t xml:space="preserve">.</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p>
        </w:tc>
        <w:tc>
          <w:tcPr>
            <w:tcW w:w="1179"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color w:val="000000"/>
                <w:highlight w:val="none"/>
              </w:rPr>
            </w:pPr>
            <w:r>
              <w:rPr>
                <w:rFonts w:ascii="宋体" w:hAnsi="宋体" w:eastAsia="宋体" w:cs="宋体"/>
                <w:color w:val="000000"/>
                <w:spacing w:val="-2"/>
                <w:szCs w:val="22"/>
                <w:highlight w:val="none"/>
              </w:rPr>
              <w:t xml:space="preserve">价格分</w:t>
            </w:r>
            <w:r/>
          </w:p>
        </w:tc>
        <w:tc>
          <w:tcPr>
            <w:tcW w:w="6738" w:type="dxa"/>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highlight w:val="none"/>
              </w:rPr>
            </w:pPr>
            <w:r>
              <w:rPr>
                <w:rFonts w:ascii="宋体" w:hAnsi="宋体" w:eastAsia="宋体" w:cs="宋体"/>
                <w:color w:val="000000"/>
                <w:spacing w:val="1"/>
                <w:highlight w:val="none"/>
              </w:rPr>
              <w:t xml:space="preserve">采用低价优先</w:t>
            </w:r>
            <w:r>
              <w:rPr>
                <w:rFonts w:ascii="宋体" w:hAnsi="宋体" w:eastAsia="宋体" w:cs="宋体"/>
                <w:color w:val="000000"/>
                <w:highlight w:val="none"/>
              </w:rPr>
              <w:t xml:space="preserve">法计算，即满足</w:t>
            </w:r>
            <w:r>
              <w:rPr>
                <w:rFonts w:hint="eastAsia" w:ascii="宋体" w:hAnsi="宋体" w:eastAsia="宋体" w:cs="宋体"/>
                <w:color w:val="000000"/>
                <w:highlight w:val="none"/>
                <w:lang w:eastAsia="zh-CN"/>
              </w:rPr>
              <w:t xml:space="preserve">采购</w:t>
            </w:r>
            <w:r>
              <w:rPr>
                <w:rFonts w:ascii="宋体" w:hAnsi="宋体" w:eastAsia="宋体" w:cs="宋体"/>
                <w:color w:val="000000"/>
                <w:highlight w:val="none"/>
              </w:rPr>
              <w:t xml:space="preserve">文件要求且</w:t>
            </w:r>
            <w:r>
              <w:rPr>
                <w:rFonts w:hint="eastAsia" w:ascii="宋体" w:hAnsi="宋体" w:eastAsia="宋体" w:cs="宋体"/>
                <w:color w:val="000000"/>
                <w:highlight w:val="none"/>
                <w:lang w:eastAsia="zh-CN"/>
              </w:rPr>
              <w:t xml:space="preserve">最终报价</w:t>
            </w:r>
            <w:r>
              <w:rPr>
                <w:rFonts w:ascii="宋体" w:hAnsi="宋体" w:eastAsia="宋体" w:cs="宋体"/>
                <w:color w:val="000000"/>
                <w:highlight w:val="none"/>
              </w:rPr>
              <w:t xml:space="preserve">最低的</w:t>
            </w:r>
            <w:r>
              <w:rPr>
                <w:rFonts w:hint="eastAsia" w:ascii="宋体" w:hAnsi="宋体" w:eastAsia="宋体" w:cs="宋体"/>
                <w:color w:val="000000"/>
                <w:highlight w:val="none"/>
                <w:lang w:eastAsia="zh-CN"/>
              </w:rPr>
              <w:t xml:space="preserve">供应商</w:t>
            </w:r>
            <w:r>
              <w:rPr>
                <w:rFonts w:ascii="宋体" w:hAnsi="宋体" w:eastAsia="宋体" w:cs="宋体"/>
                <w:color w:val="000000"/>
                <w:spacing w:val="1"/>
                <w:highlight w:val="none"/>
              </w:rPr>
              <w:t xml:space="preserve">报价为评标基准</w:t>
            </w:r>
            <w:r>
              <w:rPr>
                <w:rFonts w:ascii="宋体" w:hAnsi="宋体" w:eastAsia="宋体" w:cs="宋体"/>
                <w:color w:val="000000"/>
                <w:highlight w:val="none"/>
              </w:rPr>
              <w:t xml:space="preserve">价，其价格分为满分。其他</w:t>
            </w:r>
            <w:r>
              <w:rPr>
                <w:rFonts w:hint="eastAsia" w:ascii="宋体" w:hAnsi="宋体" w:eastAsia="宋体" w:cs="宋体"/>
                <w:color w:val="000000"/>
                <w:highlight w:val="none"/>
                <w:lang w:eastAsia="zh-CN"/>
              </w:rPr>
              <w:t xml:space="preserve">供应商</w:t>
            </w:r>
            <w:r>
              <w:rPr>
                <w:rFonts w:ascii="宋体" w:hAnsi="宋体" w:eastAsia="宋体" w:cs="宋体"/>
                <w:color w:val="000000"/>
                <w:highlight w:val="none"/>
              </w:rPr>
              <w:t xml:space="preserve">的价格分统一按</w:t>
            </w:r>
            <w:r>
              <w:rPr>
                <w:rFonts w:ascii="宋体" w:hAnsi="宋体" w:eastAsia="宋体" w:cs="宋体"/>
                <w:color w:val="000000"/>
                <w:spacing w:val="-1"/>
                <w:highlight w:val="none"/>
              </w:rPr>
              <w:t xml:space="preserve">照下列公</w:t>
            </w:r>
            <w:r>
              <w:rPr>
                <w:rFonts w:ascii="宋体" w:hAnsi="宋体" w:eastAsia="宋体" w:cs="宋体"/>
                <w:color w:val="000000"/>
                <w:highlight w:val="none"/>
              </w:rPr>
              <w:t xml:space="preserve">式计算：报价得分=(评标基准价/</w:t>
            </w:r>
            <w:r>
              <w:rPr>
                <w:rFonts w:hint="eastAsia" w:ascii="宋体" w:hAnsi="宋体" w:eastAsia="宋体" w:cs="宋体"/>
                <w:color w:val="000000"/>
                <w:highlight w:val="none"/>
                <w:lang w:eastAsia="zh-CN"/>
              </w:rPr>
              <w:t xml:space="preserve">最终</w:t>
            </w:r>
            <w:r>
              <w:rPr>
                <w:rFonts w:ascii="宋体" w:hAnsi="宋体" w:eastAsia="宋体" w:cs="宋体"/>
                <w:color w:val="000000"/>
                <w:highlight w:val="none"/>
              </w:rPr>
              <w:t xml:space="preserve">报价)×</w:t>
            </w:r>
            <w:r>
              <w:rPr>
                <w:rFonts w:hint="eastAsia" w:ascii="宋体" w:hAnsi="宋体" w:eastAsia="宋体" w:cs="宋体"/>
                <w:color w:val="000000"/>
                <w:highlight w:val="none"/>
                <w:lang w:val="en-US" w:eastAsia="zh-CN"/>
              </w:rPr>
              <w:t xml:space="preserve">价格分值（小数点保留两位）</w:t>
            </w:r>
            <w:r/>
          </w:p>
        </w:tc>
        <w:tc>
          <w:tcPr>
            <w:tcW w:w="451" w:type="dxa"/>
            <w:vAlign w:val="center"/>
            <w:textDirection w:val="lrTb"/>
            <w:noWrap w:val="false"/>
          </w:tcPr>
          <w:p>
            <w:pPr>
              <w:jc w:val="center"/>
              <w:keepLines w:val="0"/>
              <w:keepNext w:val="0"/>
              <w:pageBreakBefore w:val="0"/>
              <w:spacing w:before="69" w:line="240" w:lineRule="auto"/>
              <w:widowControl w:val="off"/>
              <w:rPr>
                <w:rFonts w:ascii="宋体" w:hAnsi="宋体" w:eastAsia="宋体" w:cs="宋体"/>
                <w:color w:val="000000"/>
                <w:highlight w:val="none"/>
              </w:rPr>
            </w:pPr>
            <w:r>
              <w:rPr>
                <w:rFonts w:hint="eastAsia" w:ascii="宋体" w:hAnsi="宋体" w:cs="宋体"/>
                <w:color w:val="000000"/>
                <w:szCs w:val="22"/>
                <w:highlight w:val="none"/>
                <w:lang w:val="en-US" w:eastAsia="zh-CN"/>
              </w:rPr>
              <w:t xml:space="preserve">6</w:t>
            </w:r>
            <w:r>
              <w:rPr>
                <w:rFonts w:hint="eastAsia" w:ascii="宋体" w:hAnsi="宋体" w:eastAsia="宋体" w:cs="宋体"/>
                <w:color w:val="000000"/>
                <w:szCs w:val="22"/>
                <w:highlight w:val="none"/>
                <w:lang w:val="en-US" w:eastAsia="zh-CN"/>
              </w:rPr>
              <w:t xml:space="preserve">0</w:t>
            </w:r>
            <w:r/>
          </w:p>
        </w:tc>
        <w:tc>
          <w:tcPr>
            <w:tcW w:w="783" w:type="dxa"/>
            <w:vAlign w:val="center"/>
            <w:textDirection w:val="lrTb"/>
            <w:noWrap w:val="false"/>
          </w:tcPr>
          <w:p>
            <w:pPr>
              <w:jc w:val="center"/>
              <w:keepLines w:val="0"/>
              <w:keepNext w:val="0"/>
              <w:pageBreakBefore w:val="0"/>
              <w:spacing w:before="258" w:line="24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zCs w:val="22"/>
                <w:highlight w:val="none"/>
                <w:lang w:eastAsia="zh-CN"/>
              </w:rPr>
              <w:t xml:space="preserve">价格分</w:t>
            </w:r>
            <w:r/>
          </w:p>
        </w:tc>
      </w:tr>
      <w:tr>
        <w:trPr>
          <w:jc w:val="center"/>
        </w:trPr>
        <w:tc>
          <w:tcPr>
            <w:gridSpan w:val="5"/>
            <w:tcW w:w="9670" w:type="dxa"/>
            <w:vAlign w:val="top"/>
            <w:textDirection w:val="lrTb"/>
            <w:noWrap w:val="false"/>
          </w:tcPr>
          <w:p>
            <w:pPr>
              <w:ind w:left="114"/>
              <w:keepLines w:val="0"/>
              <w:keepNext w:val="0"/>
              <w:pageBreakBefore w:val="0"/>
              <w:spacing w:before="123" w:line="240"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w:t>
            </w:r>
            <w:r>
              <w:rPr>
                <w:rFonts w:hint="eastAsia" w:ascii="宋体" w:hAnsi="宋体" w:cs="宋体"/>
                <w:b/>
                <w:bCs/>
                <w:color w:val="000000"/>
                <w:spacing w:val="-3"/>
                <w:highlight w:val="none"/>
                <w:lang w:val="en-US" w:eastAsia="zh-CN"/>
              </w:rPr>
              <w:t xml:space="preserve">.</w:t>
            </w:r>
            <w:r>
              <w:rPr>
                <w:rFonts w:hint="eastAsia" w:ascii="宋体" w:hAnsi="宋体" w:eastAsia="宋体" w:cs="宋体"/>
                <w:b/>
                <w:bCs/>
                <w:color w:val="000000"/>
                <w:spacing w:val="-3"/>
                <w:highlight w:val="none"/>
                <w:lang w:val="en-US" w:eastAsia="zh-CN"/>
              </w:rPr>
              <w:t xml:space="preserve">服务</w:t>
            </w:r>
            <w:r/>
          </w:p>
        </w:tc>
      </w:tr>
      <w:tr>
        <w:trPr>
          <w:jc w:val="center"/>
        </w:trPr>
        <w:tc>
          <w:tcPr>
            <w:tcW w:w="5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2.1</w:t>
            </w:r>
            <w:r/>
          </w:p>
        </w:tc>
        <w:tc>
          <w:tcPr>
            <w:tcW w:w="1179" w:type="dxa"/>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对项目的认识、服务定位、总体目标及整体设想</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评委根据供应商提供的针对本项目的认识、服务定位、总体目标及整体设想评分：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1、对项目认识到位、服务定位准确、目标和整体设想切合实际且操作性强得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2、对项目认识一般、服务定位基本合理、目标和整体设想较好得2分。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3、对项目认识不到位、服务定位不太准确、目标和整体设想不具体可行性一般得1分。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4、未提供相关内容不得分。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p>
        </w:tc>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p>
        </w:tc>
      </w:tr>
      <w:tr>
        <w:trPr>
          <w:jc w:val="center"/>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2.2</w:t>
            </w:r>
            <w:r/>
          </w:p>
        </w:tc>
        <w:tc>
          <w:tcPr>
            <w:tcW w:w="1179" w:type="dxa"/>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组织架构、培训及管理方案</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评委根据供应商提供的针对本项目的组织架构、培训及管理方案评分：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1、组织构架设置科学合理，人员上岗仪表、行为、态度等有完善的标准、规范，有完善的培训方案及管理机制的得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2、组织构架基本符合项目需求，人员上岗仪表、行为、态度等有基本的标准、规范，有基本的培训方案及管理机制的得</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3、未提供相关内容不得分。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p>
        </w:tc>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p>
        </w:tc>
      </w:tr>
      <w:tr>
        <w:trPr>
          <w:jc w:val="center"/>
        </w:trPr>
        <w:tc>
          <w:tcPr>
            <w:tcW w:w="519"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2.3</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服务质量标准及控制程序</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评委根据供应商提供的针对本项目的服务质量标准及控制程序评分：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1、服务质量标准目标明确且完善，质量控制程序科学，可操作性强，各类考核机制全面合理可行的得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2、服务质量标准目标、质量控制程序以及考核机制，基本完善的得2分；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3、质量标准目标不明确，质量控制程序及考核机制缺乏或不科学可行或与项目的实际情况不吻合的，得1分；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4、未提供相关内容不得分。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p>
        </w:tc>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p>
        </w:tc>
      </w:tr>
      <w:tr>
        <w:trPr>
          <w:jc w:val="center"/>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2.4</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突发事件应急处理预案</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评委根据供应商提供的针对本项目的突发事件应急处理预案评分：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1、针对项目的实际情况编制的突发事件应急处理预案全面完善，针对性强，可实施性强的得3分；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2、突发事件应急处理预案基本全面，针对性较强，可实施性较强的，得2分；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3、突发事件应急处理预案不够全面，且针对性不强，或与项目的实际需求不吻合的得1分；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4、未提供相关内容不得分。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p>
        </w:tc>
      </w:tr>
      <w:tr>
        <w:trPr>
          <w:jc w:val="center"/>
        </w:trPr>
        <w:tc>
          <w:tcPr>
            <w:tcW w:w="519"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2.5</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物业管理重点、难点及具体措施</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评委根据供应商提供的针对本项目的物业管理重点、难点及具体措施评分：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1、针对物业管理重点难点制定详细实施方案、数据统计，数据分析详细，实施方案完善、具体、切实可行的得3分。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2、针对物业管理重点难点制定详细实施方案、数据统计，数据分析较详细，实施方案较完善、较具体、可行性较强的得2分。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2、针对物业管理重点难点制定详细实施方案、数据统计，分析不详细，实施方案不完善、不具体、可行性一般的得1分。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3、未提供相关内容不得分。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p>
        </w:tc>
      </w:tr>
      <w:tr>
        <w:trPr>
          <w:jc w:val="center"/>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2.6</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物业管理制度及部门规章</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评委根据供应商提供的针对本项目的物业管理制度及部门规章评分：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1、物业管理制度合理可行，部门职责划分清晰，各部门规章明确且具有针对性的得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2、物业管理制度合理性一般，部门职责划分较为清晰，各部门规章完整但缺乏针对性的得</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分；</w:t>
            </w:r>
            <w:r/>
          </w:p>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3、未提供相关内容的不得分。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p>
        </w:tc>
        <w:tc>
          <w:tcPr>
            <w:tcW w:w="7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主观分</w:t>
            </w:r>
            <w:r/>
          </w:p>
        </w:tc>
      </w:tr>
      <w:tr>
        <w:trPr>
          <w:jc w:val="center"/>
          <w:trHeight w:val="327"/>
        </w:trPr>
        <w:tc>
          <w:tcPr>
            <w:gridSpan w:val="5"/>
            <w:tcW w:w="9670" w:type="dxa"/>
            <w:vAlign w:val="center"/>
            <w:textDirection w:val="lrTb"/>
            <w:noWrap w:val="false"/>
          </w:tcPr>
          <w:p>
            <w:pPr>
              <w:keepLines w:val="0"/>
              <w:keepNext w:val="0"/>
              <w:pageBreakBefore w:val="0"/>
              <w:spacing w:line="240"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3</w:t>
            </w:r>
            <w:r>
              <w:rPr>
                <w:rFonts w:hint="eastAsia" w:ascii="宋体" w:hAnsi="宋体" w:cs="宋体"/>
                <w:b/>
                <w:bCs/>
                <w:color w:val="000000"/>
                <w:spacing w:val="-3"/>
                <w:highlight w:val="none"/>
                <w:lang w:val="en-US" w:eastAsia="zh-CN"/>
              </w:rPr>
              <w:t xml:space="preserve">.</w:t>
            </w:r>
            <w:r>
              <w:rPr>
                <w:rFonts w:hint="eastAsia" w:ascii="宋体" w:hAnsi="宋体" w:eastAsia="宋体" w:cs="宋体"/>
                <w:b/>
                <w:bCs/>
                <w:color w:val="000000"/>
                <w:spacing w:val="-3"/>
                <w:highlight w:val="none"/>
                <w:lang w:val="en-US" w:eastAsia="zh-CN"/>
              </w:rPr>
              <w:t xml:space="preserve">业绩</w:t>
            </w:r>
            <w:r/>
          </w:p>
        </w:tc>
      </w:tr>
      <w:tr>
        <w:trPr>
          <w:jc w:val="center"/>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3.1</w:t>
            </w:r>
            <w:r/>
          </w:p>
        </w:tc>
        <w:tc>
          <w:tcPr>
            <w:tcW w:w="1179"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1"/>
                <w:highlight w:val="none"/>
                <w:lang w:eastAsia="zh-CN"/>
              </w:rPr>
            </w:pPr>
            <w:r>
              <w:rPr>
                <w:rFonts w:hint="eastAsia" w:ascii="宋体" w:hAnsi="宋体" w:eastAsia="宋体" w:cs="宋体"/>
                <w:color w:val="000000"/>
                <w:spacing w:val="-1"/>
                <w:highlight w:val="none"/>
                <w:lang w:eastAsia="zh-CN"/>
              </w:rPr>
              <w:t xml:space="preserve">供应商业绩</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供应商提供202</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年1</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月1日（</w:t>
            </w:r>
            <w:r>
              <w:rPr>
                <w:rFonts w:hint="eastAsia" w:ascii="宋体" w:hAnsi="宋体" w:cs="宋体"/>
                <w:color w:val="000000"/>
                <w:highlight w:val="none"/>
                <w:lang w:val="en-US" w:eastAsia="zh-CN"/>
              </w:rPr>
              <w:t xml:space="preserve">含</w:t>
            </w:r>
            <w:r>
              <w:rPr>
                <w:rFonts w:hint="eastAsia" w:ascii="宋体" w:hAnsi="宋体" w:eastAsia="宋体" w:cs="宋体"/>
                <w:color w:val="000000"/>
                <w:highlight w:val="none"/>
                <w:lang w:val="en-US" w:eastAsia="zh-CN"/>
              </w:rPr>
              <w:t xml:space="preserve">）以来（以合同签订日期为准），实施的物业服务业绩（服务内容至少包括保安、保洁、维修三项），每提供一个业绩得3分，最多得</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分，未提供不得分。</w:t>
            </w:r>
            <w:r/>
          </w:p>
          <w:p>
            <w:pPr>
              <w:jc w:val="left"/>
              <w:keepLines w:val="0"/>
              <w:keepNext w:val="0"/>
              <w:pageBreakBefore w:val="0"/>
              <w:spacing w:line="240" w:lineRule="auto"/>
              <w:widowControl w:val="off"/>
              <w:rPr>
                <w:rStyle w:val="913"/>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注：（1）提供物业服务合同和发票，合同和发票内容清晰；</w:t>
            </w:r>
            <w:r/>
          </w:p>
          <w:p>
            <w:pPr>
              <w:ind w:firstLine="420"/>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p>
        </w:tc>
        <w:tc>
          <w:tcPr>
            <w:tcW w:w="451"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6</w:t>
            </w:r>
            <w:r/>
          </w:p>
        </w:tc>
        <w:tc>
          <w:tcPr>
            <w:tcW w:w="783"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highlight w:val="none"/>
                <w:lang w:eastAsia="zh-CN"/>
              </w:rPr>
            </w:pPr>
            <w:r>
              <w:rPr>
                <w:rFonts w:hint="eastAsia" w:ascii="宋体" w:hAnsi="宋体" w:eastAsia="宋体" w:cs="宋体"/>
                <w:color w:val="000000"/>
                <w:spacing w:val="-6"/>
                <w:highlight w:val="none"/>
              </w:rPr>
              <w:t xml:space="preserve">客观</w:t>
            </w:r>
            <w:r>
              <w:rPr>
                <w:rFonts w:hint="eastAsia" w:ascii="宋体" w:hAnsi="宋体" w:eastAsia="宋体" w:cs="宋体"/>
                <w:color w:val="000000"/>
                <w:spacing w:val="-6"/>
                <w:highlight w:val="none"/>
                <w:lang w:eastAsia="zh-CN"/>
              </w:rPr>
              <w:t xml:space="preserve">分</w:t>
            </w:r>
            <w:r/>
          </w:p>
        </w:tc>
      </w:tr>
      <w:tr>
        <w:trPr>
          <w:jc w:val="center"/>
        </w:trPr>
        <w:tc>
          <w:tcPr>
            <w:gridSpan w:val="5"/>
            <w:tcW w:w="9670" w:type="dxa"/>
            <w:vAlign w:val="top"/>
            <w:textDirection w:val="lrTb"/>
            <w:noWrap w:val="false"/>
          </w:tcPr>
          <w:p>
            <w:pPr>
              <w:keepLines w:val="0"/>
              <w:keepNext w:val="0"/>
              <w:pageBreakBefore w:val="0"/>
              <w:spacing w:before="123" w:line="240"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w:t>
            </w:r>
            <w:r>
              <w:rPr>
                <w:rFonts w:hint="eastAsia" w:ascii="宋体" w:hAnsi="宋体" w:cs="宋体"/>
                <w:b/>
                <w:bCs/>
                <w:color w:val="000000"/>
                <w:spacing w:val="-3"/>
                <w:highlight w:val="none"/>
                <w:lang w:val="en-US" w:eastAsia="zh-CN"/>
              </w:rPr>
              <w:t xml:space="preserve">.</w:t>
            </w:r>
            <w:r>
              <w:rPr>
                <w:rFonts w:hint="eastAsia" w:ascii="宋体" w:hAnsi="宋体" w:eastAsia="宋体" w:cs="宋体"/>
                <w:b/>
                <w:bCs/>
                <w:color w:val="000000"/>
                <w:spacing w:val="-3"/>
                <w:highlight w:val="none"/>
                <w:lang w:val="en-US" w:eastAsia="zh-CN"/>
              </w:rPr>
              <w:t xml:space="preserve">履约能力</w:t>
            </w:r>
            <w:r/>
          </w:p>
        </w:tc>
      </w:tr>
      <w:tr>
        <w:trPr>
          <w:jc w:val="center"/>
          <w:trHeight w:val="1199"/>
        </w:trPr>
        <w:tc>
          <w:tcPr>
            <w:tcW w:w="5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4.1</w:t>
            </w:r>
            <w:r/>
          </w:p>
        </w:tc>
        <w:tc>
          <w:tcPr>
            <w:tcW w:w="1179" w:type="dxa"/>
            <w:vAlign w:val="center"/>
            <w:textDirection w:val="lrTb"/>
            <w:noWrap w:val="false"/>
          </w:tcPr>
          <w:p>
            <w:pPr>
              <w:jc w:val="left"/>
              <w:keepLines w:val="0"/>
              <w:keepNext w:val="0"/>
              <w:pageBreakBefore w:val="0"/>
              <w:spacing w:line="24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履约能力1</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highlight w:val="none"/>
                <w:u w:val="none"/>
                <w:lang w:val="en-US" w:eastAsia="zh-CN"/>
              </w:rPr>
            </w:pPr>
            <w:r>
              <w:rPr>
                <w:rFonts w:hint="eastAsia" w:ascii="宋体" w:hAnsi="宋体" w:eastAsia="宋体" w:cs="宋体"/>
                <w:b w:val="0"/>
                <w:bCs w:val="0"/>
                <w:color w:val="auto"/>
                <w:highlight w:val="none"/>
                <w:u w:val="none"/>
                <w:lang w:val="en-US" w:eastAsia="zh-CN"/>
              </w:rPr>
              <w:t xml:space="preserve">供应商拟派项目经理，具有2年及以上物业项目经理工作经验；</w:t>
            </w:r>
            <w:r/>
          </w:p>
          <w:p>
            <w:pPr>
              <w:jc w:val="left"/>
              <w:keepLines w:val="0"/>
              <w:keepNext w:val="0"/>
              <w:pageBreakBefore w:val="0"/>
              <w:spacing w:line="240" w:lineRule="auto"/>
              <w:widowControl w:val="off"/>
              <w:rPr>
                <w:rFonts w:hint="eastAsia" w:ascii="宋体" w:hAnsi="宋体" w:eastAsia="宋体" w:cs="宋体"/>
                <w:b w:val="0"/>
                <w:bCs w:val="0"/>
                <w:color w:val="auto"/>
                <w:highlight w:val="none"/>
                <w:u w:val="none"/>
                <w:lang w:val="en-US" w:eastAsia="zh-CN"/>
              </w:rPr>
            </w:pPr>
            <w:r>
              <w:rPr>
                <w:rFonts w:hint="eastAsia" w:ascii="宋体" w:hAnsi="宋体" w:eastAsia="宋体" w:cs="宋体"/>
                <w:b w:val="0"/>
                <w:bCs w:val="0"/>
                <w:color w:val="auto"/>
                <w:highlight w:val="none"/>
                <w:u w:val="none"/>
                <w:lang w:val="en-US" w:eastAsia="zh-CN"/>
              </w:rPr>
              <w:t xml:space="preserve">注：提供加盖业主单位公章的工作经验证明材料和供应商为其缴纳</w:t>
            </w:r>
            <w:r>
              <w:rPr>
                <w:rFonts w:hint="eastAsia" w:ascii="宋体" w:hAnsi="宋体" w:cs="宋体"/>
                <w:b w:val="0"/>
                <w:bCs w:val="0"/>
                <w:color w:val="auto"/>
                <w:highlight w:val="none"/>
                <w:u w:val="none"/>
                <w:lang w:val="en-US" w:eastAsia="zh-CN"/>
              </w:rPr>
              <w:t xml:space="preserve">2025</w:t>
            </w:r>
            <w:r>
              <w:rPr>
                <w:rFonts w:hint="eastAsia" w:ascii="宋体" w:hAnsi="宋体" w:eastAsia="宋体" w:cs="宋体"/>
                <w:b w:val="0"/>
                <w:bCs w:val="0"/>
                <w:color w:val="auto"/>
                <w:highlight w:val="none"/>
                <w:u w:val="none"/>
                <w:lang w:val="en-US" w:eastAsia="zh-CN"/>
              </w:rPr>
              <w:t xml:space="preserve">年</w:t>
            </w:r>
            <w:r>
              <w:rPr>
                <w:rFonts w:hint="eastAsia" w:ascii="宋体" w:hAnsi="宋体" w:cs="宋体"/>
                <w:b w:val="0"/>
                <w:bCs w:val="0"/>
                <w:color w:val="auto"/>
                <w:highlight w:val="none"/>
                <w:u w:val="none"/>
                <w:lang w:val="en-US" w:eastAsia="zh-CN"/>
              </w:rPr>
              <w:t xml:space="preserve">6</w:t>
            </w:r>
            <w:r>
              <w:rPr>
                <w:rFonts w:hint="eastAsia" w:ascii="宋体" w:hAnsi="宋体" w:eastAsia="宋体" w:cs="宋体"/>
                <w:b w:val="0"/>
                <w:bCs w:val="0"/>
                <w:color w:val="auto"/>
                <w:highlight w:val="none"/>
                <w:u w:val="none"/>
                <w:lang w:val="en-US" w:eastAsia="zh-CN"/>
              </w:rPr>
              <w:t xml:space="preserve">月1日以来至少一个月的社保证明，以上证明材料齐全得5分，缺项或未提供的不得分。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W w:w="78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客观分</w:t>
            </w:r>
            <w:r/>
          </w:p>
        </w:tc>
      </w:tr>
      <w:tr>
        <w:trPr>
          <w:jc w:val="center"/>
          <w:trHeight w:val="1165"/>
        </w:trPr>
        <w:tc>
          <w:tcPr>
            <w:tcW w:w="5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4.2</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履约能力2</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highlight w:val="none"/>
                <w:u w:val="none"/>
                <w:lang w:val="en-US" w:eastAsia="zh-CN"/>
              </w:rPr>
            </w:pPr>
            <w:r>
              <w:rPr>
                <w:rFonts w:hint="eastAsia" w:ascii="宋体" w:hAnsi="宋体" w:eastAsia="宋体" w:cs="宋体"/>
                <w:b w:val="0"/>
                <w:bCs w:val="0"/>
                <w:color w:val="auto"/>
                <w:highlight w:val="none"/>
                <w:u w:val="none"/>
                <w:lang w:val="en-US" w:eastAsia="zh-CN"/>
              </w:rPr>
              <w:t xml:space="preserve">供应商拟派客户服务，具有1年及以上物业项目客服工作经验；</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2"/>
                <w:highlight w:val="none"/>
                <w:u w:val="none"/>
                <w:lang w:val="en-US" w:eastAsia="zh-CN" w:bidi="ar-SA"/>
              </w:rPr>
            </w:pPr>
            <w:r>
              <w:rPr>
                <w:rFonts w:hint="eastAsia" w:ascii="宋体" w:hAnsi="宋体" w:eastAsia="宋体" w:cs="宋体"/>
                <w:b w:val="0"/>
                <w:bCs w:val="0"/>
                <w:color w:val="auto"/>
                <w:highlight w:val="none"/>
                <w:u w:val="none"/>
                <w:lang w:val="en-US" w:eastAsia="zh-CN"/>
              </w:rPr>
              <w:t xml:space="preserve">注：提供加盖业主单位公章的工作经验证明材料和供应商为其缴纳</w:t>
            </w:r>
            <w:r>
              <w:rPr>
                <w:rFonts w:hint="eastAsia" w:ascii="宋体" w:hAnsi="宋体" w:cs="宋体"/>
                <w:b w:val="0"/>
                <w:bCs w:val="0"/>
                <w:color w:val="auto"/>
                <w:highlight w:val="none"/>
                <w:u w:val="none"/>
                <w:lang w:val="en-US" w:eastAsia="zh-CN"/>
              </w:rPr>
              <w:t xml:space="preserve">2025</w:t>
            </w:r>
            <w:r>
              <w:rPr>
                <w:rFonts w:hint="eastAsia" w:ascii="宋体" w:hAnsi="宋体" w:eastAsia="宋体" w:cs="宋体"/>
                <w:b w:val="0"/>
                <w:bCs w:val="0"/>
                <w:color w:val="auto"/>
                <w:highlight w:val="none"/>
                <w:u w:val="none"/>
                <w:lang w:val="en-US" w:eastAsia="zh-CN"/>
              </w:rPr>
              <w:t xml:space="preserve">年</w:t>
            </w:r>
            <w:r>
              <w:rPr>
                <w:rFonts w:hint="eastAsia" w:ascii="宋体" w:hAnsi="宋体" w:cs="宋体"/>
                <w:b w:val="0"/>
                <w:bCs w:val="0"/>
                <w:color w:val="auto"/>
                <w:highlight w:val="none"/>
                <w:u w:val="none"/>
                <w:lang w:val="en-US" w:eastAsia="zh-CN"/>
              </w:rPr>
              <w:t xml:space="preserve">6</w:t>
            </w:r>
            <w:r>
              <w:rPr>
                <w:rFonts w:hint="eastAsia" w:ascii="宋体" w:hAnsi="宋体" w:eastAsia="宋体" w:cs="宋体"/>
                <w:b w:val="0"/>
                <w:bCs w:val="0"/>
                <w:color w:val="auto"/>
                <w:highlight w:val="none"/>
                <w:u w:val="none"/>
                <w:lang w:val="en-US" w:eastAsia="zh-CN"/>
              </w:rPr>
              <w:t xml:space="preserve">月1日以来至少一个月的社保证明，，以上证明材料齐全得</w:t>
            </w:r>
            <w:r>
              <w:rPr>
                <w:rFonts w:hint="eastAsia" w:ascii="宋体" w:hAnsi="宋体" w:cs="宋体"/>
                <w:b w:val="0"/>
                <w:bCs w:val="0"/>
                <w:color w:val="auto"/>
                <w:highlight w:val="none"/>
                <w:u w:val="none"/>
                <w:lang w:val="en-US" w:eastAsia="zh-CN"/>
              </w:rPr>
              <w:t xml:space="preserve">2</w:t>
            </w:r>
            <w:r>
              <w:rPr>
                <w:rFonts w:hint="eastAsia" w:ascii="宋体" w:hAnsi="宋体" w:eastAsia="宋体" w:cs="宋体"/>
                <w:b w:val="0"/>
                <w:bCs w:val="0"/>
                <w:color w:val="auto"/>
                <w:highlight w:val="none"/>
                <w:u w:val="none"/>
                <w:lang w:val="en-US" w:eastAsia="zh-CN"/>
              </w:rPr>
              <w:t xml:space="preserve">分，缺项或未提供的不得分。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p>
        </w:tc>
        <w:tc>
          <w:tcPr>
            <w:tcW w:w="78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客观分</w:t>
            </w:r>
            <w:r/>
          </w:p>
        </w:tc>
      </w:tr>
      <w:tr>
        <w:trPr>
          <w:jc w:val="center"/>
          <w:trHeight w:val="1165"/>
        </w:trPr>
        <w:tc>
          <w:tcPr>
            <w:tcW w:w="5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4.3</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履约能力3</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highlight w:val="none"/>
                <w:u w:val="none"/>
                <w:lang w:val="en-US" w:eastAsia="zh-CN"/>
              </w:rPr>
            </w:pPr>
            <w:r>
              <w:rPr>
                <w:rFonts w:hint="eastAsia" w:ascii="宋体" w:hAnsi="宋体" w:eastAsia="宋体" w:cs="宋体"/>
                <w:b w:val="0"/>
                <w:bCs w:val="0"/>
                <w:color w:val="auto"/>
                <w:highlight w:val="none"/>
                <w:u w:val="none"/>
                <w:lang w:val="en-US" w:eastAsia="zh-CN"/>
              </w:rPr>
              <w:t xml:space="preserve">供应商拟派保洁主管，1年及以上物业项目保洁主管工作经验；</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2"/>
                <w:highlight w:val="none"/>
                <w:u w:val="none"/>
                <w:lang w:val="en-US" w:eastAsia="zh-CN" w:bidi="ar-SA"/>
              </w:rPr>
            </w:pPr>
            <w:r>
              <w:rPr>
                <w:rFonts w:hint="eastAsia" w:ascii="宋体" w:hAnsi="宋体" w:eastAsia="宋体" w:cs="宋体"/>
                <w:b w:val="0"/>
                <w:bCs w:val="0"/>
                <w:color w:val="auto"/>
                <w:highlight w:val="none"/>
                <w:u w:val="none"/>
                <w:lang w:val="en-US" w:eastAsia="zh-CN"/>
              </w:rPr>
              <w:t xml:space="preserve">注：提供加盖业主单位公章的工作经验证明材料和供应商为其缴纳</w:t>
            </w:r>
            <w:r>
              <w:rPr>
                <w:rFonts w:hint="eastAsia" w:ascii="宋体" w:hAnsi="宋体" w:cs="宋体"/>
                <w:b w:val="0"/>
                <w:bCs w:val="0"/>
                <w:color w:val="auto"/>
                <w:highlight w:val="none"/>
                <w:u w:val="none"/>
                <w:lang w:val="en-US" w:eastAsia="zh-CN"/>
              </w:rPr>
              <w:t xml:space="preserve">2025</w:t>
            </w:r>
            <w:r>
              <w:rPr>
                <w:rFonts w:hint="eastAsia" w:ascii="宋体" w:hAnsi="宋体" w:eastAsia="宋体" w:cs="宋体"/>
                <w:b w:val="0"/>
                <w:bCs w:val="0"/>
                <w:color w:val="auto"/>
                <w:highlight w:val="none"/>
                <w:u w:val="none"/>
                <w:lang w:val="en-US" w:eastAsia="zh-CN"/>
              </w:rPr>
              <w:t xml:space="preserve">年</w:t>
            </w:r>
            <w:r>
              <w:rPr>
                <w:rFonts w:hint="eastAsia" w:ascii="宋体" w:hAnsi="宋体" w:cs="宋体"/>
                <w:b w:val="0"/>
                <w:bCs w:val="0"/>
                <w:color w:val="auto"/>
                <w:highlight w:val="none"/>
                <w:u w:val="none"/>
                <w:lang w:val="en-US" w:eastAsia="zh-CN"/>
              </w:rPr>
              <w:t xml:space="preserve">6</w:t>
            </w:r>
            <w:r>
              <w:rPr>
                <w:rFonts w:hint="eastAsia" w:ascii="宋体" w:hAnsi="宋体" w:eastAsia="宋体" w:cs="宋体"/>
                <w:b w:val="0"/>
                <w:bCs w:val="0"/>
                <w:color w:val="auto"/>
                <w:highlight w:val="none"/>
                <w:u w:val="none"/>
                <w:lang w:val="en-US" w:eastAsia="zh-CN"/>
              </w:rPr>
              <w:t xml:space="preserve">月1日以来至少一个月的社保证明，，以上证明材料齐全得</w:t>
            </w:r>
            <w:r>
              <w:rPr>
                <w:rFonts w:hint="eastAsia" w:ascii="宋体" w:hAnsi="宋体" w:cs="宋体"/>
                <w:b w:val="0"/>
                <w:bCs w:val="0"/>
                <w:color w:val="auto"/>
                <w:highlight w:val="none"/>
                <w:u w:val="none"/>
                <w:lang w:val="en-US" w:eastAsia="zh-CN"/>
              </w:rPr>
              <w:t xml:space="preserve">3</w:t>
            </w:r>
            <w:r>
              <w:rPr>
                <w:rFonts w:hint="eastAsia" w:ascii="宋体" w:hAnsi="宋体" w:eastAsia="宋体" w:cs="宋体"/>
                <w:b w:val="0"/>
                <w:bCs w:val="0"/>
                <w:color w:val="auto"/>
                <w:highlight w:val="none"/>
                <w:u w:val="none"/>
                <w:lang w:val="en-US" w:eastAsia="zh-CN"/>
              </w:rPr>
              <w:t xml:space="preserve">分，缺项或未提供的不得分。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3</w:t>
            </w:r>
            <w:r/>
          </w:p>
        </w:tc>
        <w:tc>
          <w:tcPr>
            <w:tcW w:w="78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客观分</w:t>
            </w:r>
            <w:r/>
          </w:p>
        </w:tc>
      </w:tr>
      <w:tr>
        <w:trPr>
          <w:jc w:val="center"/>
          <w:trHeight w:val="1165"/>
        </w:trPr>
        <w:tc>
          <w:tcPr>
            <w:tcW w:w="5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4.4</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履约能力4</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highlight w:val="none"/>
                <w:u w:val="none"/>
                <w:lang w:val="en-US" w:eastAsia="zh-CN"/>
              </w:rPr>
            </w:pPr>
            <w:r>
              <w:rPr>
                <w:rFonts w:hint="eastAsia" w:ascii="宋体" w:hAnsi="宋体" w:eastAsia="宋体" w:cs="宋体"/>
                <w:b w:val="0"/>
                <w:bCs w:val="0"/>
                <w:color w:val="auto"/>
                <w:highlight w:val="none"/>
                <w:u w:val="none"/>
                <w:lang w:val="en-US" w:eastAsia="zh-CN"/>
              </w:rPr>
              <w:t xml:space="preserve">供应商拟派安保主管，1年及以上物业项目安保主管工作经验；</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2"/>
                <w:highlight w:val="none"/>
                <w:u w:val="none"/>
                <w:lang w:val="en-US" w:eastAsia="zh-CN" w:bidi="ar-SA"/>
              </w:rPr>
            </w:pPr>
            <w:r>
              <w:rPr>
                <w:rFonts w:hint="eastAsia" w:ascii="宋体" w:hAnsi="宋体" w:eastAsia="宋体" w:cs="宋体"/>
                <w:b w:val="0"/>
                <w:bCs w:val="0"/>
                <w:color w:val="auto"/>
                <w:highlight w:val="none"/>
                <w:u w:val="none"/>
                <w:lang w:val="en-US" w:eastAsia="zh-CN"/>
              </w:rPr>
              <w:t xml:space="preserve">注：提供加盖业主单位公章的工作经验证明材料和供应商为其缴纳</w:t>
            </w:r>
            <w:r>
              <w:rPr>
                <w:rFonts w:hint="eastAsia" w:ascii="宋体" w:hAnsi="宋体" w:cs="宋体"/>
                <w:b w:val="0"/>
                <w:bCs w:val="0"/>
                <w:color w:val="auto"/>
                <w:highlight w:val="none"/>
                <w:u w:val="none"/>
                <w:lang w:val="en-US" w:eastAsia="zh-CN"/>
              </w:rPr>
              <w:t xml:space="preserve">2025</w:t>
            </w:r>
            <w:r>
              <w:rPr>
                <w:rFonts w:hint="eastAsia" w:ascii="宋体" w:hAnsi="宋体" w:eastAsia="宋体" w:cs="宋体"/>
                <w:b w:val="0"/>
                <w:bCs w:val="0"/>
                <w:color w:val="auto"/>
                <w:highlight w:val="none"/>
                <w:u w:val="none"/>
                <w:lang w:val="en-US" w:eastAsia="zh-CN"/>
              </w:rPr>
              <w:t xml:space="preserve">年</w:t>
            </w:r>
            <w:r>
              <w:rPr>
                <w:rFonts w:hint="eastAsia" w:ascii="宋体" w:hAnsi="宋体" w:cs="宋体"/>
                <w:b w:val="0"/>
                <w:bCs w:val="0"/>
                <w:color w:val="auto"/>
                <w:highlight w:val="none"/>
                <w:u w:val="none"/>
                <w:lang w:val="en-US" w:eastAsia="zh-CN"/>
              </w:rPr>
              <w:t xml:space="preserve">6</w:t>
            </w:r>
            <w:r>
              <w:rPr>
                <w:rFonts w:hint="eastAsia" w:ascii="宋体" w:hAnsi="宋体" w:eastAsia="宋体" w:cs="宋体"/>
                <w:b w:val="0"/>
                <w:bCs w:val="0"/>
                <w:color w:val="auto"/>
                <w:highlight w:val="none"/>
                <w:u w:val="none"/>
                <w:lang w:val="en-US" w:eastAsia="zh-CN"/>
              </w:rPr>
              <w:t xml:space="preserve">月1日以来至少一个月的社保证明，，以上证明材料齐全得</w:t>
            </w:r>
            <w:r>
              <w:rPr>
                <w:rFonts w:hint="eastAsia" w:ascii="宋体" w:hAnsi="宋体" w:cs="宋体"/>
                <w:b w:val="0"/>
                <w:bCs w:val="0"/>
                <w:color w:val="auto"/>
                <w:highlight w:val="none"/>
                <w:u w:val="none"/>
                <w:lang w:val="en-US" w:eastAsia="zh-CN"/>
              </w:rPr>
              <w:t xml:space="preserve">3</w:t>
            </w:r>
            <w:r>
              <w:rPr>
                <w:rFonts w:hint="eastAsia" w:ascii="宋体" w:hAnsi="宋体" w:eastAsia="宋体" w:cs="宋体"/>
                <w:b w:val="0"/>
                <w:bCs w:val="0"/>
                <w:color w:val="auto"/>
                <w:highlight w:val="none"/>
                <w:u w:val="none"/>
                <w:lang w:val="en-US" w:eastAsia="zh-CN"/>
              </w:rPr>
              <w:t xml:space="preserve">分，缺项或未提供的不得分。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3</w:t>
            </w:r>
            <w:r/>
          </w:p>
        </w:tc>
        <w:tc>
          <w:tcPr>
            <w:tcW w:w="78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客观分</w:t>
            </w:r>
            <w:r/>
          </w:p>
        </w:tc>
      </w:tr>
      <w:tr>
        <w:trPr>
          <w:jc w:val="center"/>
          <w:trHeight w:val="1165"/>
        </w:trPr>
        <w:tc>
          <w:tcPr>
            <w:tcW w:w="5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4.5</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履约能力5</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highlight w:val="none"/>
                <w:u w:val="none"/>
                <w:lang w:val="en-US" w:eastAsia="zh-CN"/>
              </w:rPr>
            </w:pPr>
            <w:r>
              <w:rPr>
                <w:rFonts w:hint="eastAsia" w:ascii="宋体" w:hAnsi="宋体" w:eastAsia="宋体" w:cs="宋体"/>
                <w:b w:val="0"/>
                <w:bCs w:val="0"/>
                <w:color w:val="auto"/>
                <w:highlight w:val="none"/>
                <w:u w:val="none"/>
                <w:lang w:val="en-US" w:eastAsia="zh-CN"/>
              </w:rPr>
              <w:t xml:space="preserve">供应商拟派消防监控员，1年及以上物业项目工作经验；</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2"/>
                <w:highlight w:val="none"/>
                <w:u w:val="none"/>
                <w:lang w:val="en-US" w:eastAsia="zh-CN" w:bidi="ar-SA"/>
              </w:rPr>
            </w:pPr>
            <w:r>
              <w:rPr>
                <w:rFonts w:hint="eastAsia" w:ascii="宋体" w:hAnsi="宋体" w:eastAsia="宋体" w:cs="宋体"/>
                <w:b w:val="0"/>
                <w:bCs w:val="0"/>
                <w:color w:val="auto"/>
                <w:highlight w:val="none"/>
                <w:u w:val="none"/>
                <w:lang w:val="en-US" w:eastAsia="zh-CN"/>
              </w:rPr>
              <w:t xml:space="preserve">注：提供加盖业主单位公章的工作经验证明材料和供应商为其缴纳</w:t>
            </w:r>
            <w:r>
              <w:rPr>
                <w:rFonts w:hint="eastAsia" w:ascii="宋体" w:hAnsi="宋体" w:cs="宋体"/>
                <w:b w:val="0"/>
                <w:bCs w:val="0"/>
                <w:color w:val="auto"/>
                <w:highlight w:val="none"/>
                <w:u w:val="none"/>
                <w:lang w:val="en-US" w:eastAsia="zh-CN"/>
              </w:rPr>
              <w:t xml:space="preserve">2025</w:t>
            </w:r>
            <w:r>
              <w:rPr>
                <w:rFonts w:hint="eastAsia" w:ascii="宋体" w:hAnsi="宋体" w:eastAsia="宋体" w:cs="宋体"/>
                <w:b w:val="0"/>
                <w:bCs w:val="0"/>
                <w:color w:val="auto"/>
                <w:highlight w:val="none"/>
                <w:u w:val="none"/>
                <w:lang w:val="en-US" w:eastAsia="zh-CN"/>
              </w:rPr>
              <w:t xml:space="preserve">年</w:t>
            </w:r>
            <w:r>
              <w:rPr>
                <w:rFonts w:hint="eastAsia" w:ascii="宋体" w:hAnsi="宋体" w:cs="宋体"/>
                <w:b w:val="0"/>
                <w:bCs w:val="0"/>
                <w:color w:val="auto"/>
                <w:highlight w:val="none"/>
                <w:u w:val="none"/>
                <w:lang w:val="en-US" w:eastAsia="zh-CN"/>
              </w:rPr>
              <w:t xml:space="preserve">6</w:t>
            </w:r>
            <w:r>
              <w:rPr>
                <w:rFonts w:hint="eastAsia" w:ascii="宋体" w:hAnsi="宋体" w:eastAsia="宋体" w:cs="宋体"/>
                <w:b w:val="0"/>
                <w:bCs w:val="0"/>
                <w:color w:val="auto"/>
                <w:highlight w:val="none"/>
                <w:u w:val="none"/>
                <w:lang w:val="en-US" w:eastAsia="zh-CN"/>
              </w:rPr>
              <w:t xml:space="preserve">月1日以来至少一个月的社保证明，以上证明材料齐全得</w:t>
            </w:r>
            <w:r>
              <w:rPr>
                <w:rFonts w:hint="eastAsia" w:ascii="宋体" w:hAnsi="宋体" w:cs="宋体"/>
                <w:b w:val="0"/>
                <w:bCs w:val="0"/>
                <w:color w:val="auto"/>
                <w:highlight w:val="none"/>
                <w:u w:val="none"/>
                <w:lang w:val="en-US" w:eastAsia="zh-CN"/>
              </w:rPr>
              <w:t xml:space="preserve">2</w:t>
            </w:r>
            <w:r>
              <w:rPr>
                <w:rFonts w:hint="eastAsia" w:ascii="宋体" w:hAnsi="宋体" w:eastAsia="宋体" w:cs="宋体"/>
                <w:b w:val="0"/>
                <w:bCs w:val="0"/>
                <w:color w:val="auto"/>
                <w:highlight w:val="none"/>
                <w:u w:val="none"/>
                <w:lang w:val="en-US" w:eastAsia="zh-CN"/>
              </w:rPr>
              <w:t xml:space="preserve">分，缺项或未提供的不得分。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2</w:t>
            </w:r>
            <w:r/>
          </w:p>
        </w:tc>
        <w:tc>
          <w:tcPr>
            <w:tcW w:w="78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客观分</w:t>
            </w:r>
            <w:r/>
          </w:p>
        </w:tc>
      </w:tr>
      <w:tr>
        <w:trPr>
          <w:jc w:val="center"/>
          <w:trHeight w:val="1165"/>
        </w:trPr>
        <w:tc>
          <w:tcPr>
            <w:tcW w:w="5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4.6</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履约能力6</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highlight w:val="none"/>
                <w:u w:val="none"/>
                <w:lang w:val="en-US" w:eastAsia="zh-CN"/>
              </w:rPr>
            </w:pPr>
            <w:r>
              <w:rPr>
                <w:rFonts w:hint="eastAsia" w:ascii="宋体" w:hAnsi="宋体" w:eastAsia="宋体" w:cs="宋体"/>
                <w:b w:val="0"/>
                <w:bCs w:val="0"/>
                <w:color w:val="auto"/>
                <w:highlight w:val="none"/>
                <w:u w:val="none"/>
                <w:lang w:val="en-US" w:eastAsia="zh-CN"/>
              </w:rPr>
              <w:t xml:space="preserve">供应商拟派维修主管，2年及以上物业项目工程主管工作经验；</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2"/>
                <w:highlight w:val="none"/>
                <w:u w:val="none"/>
                <w:lang w:val="en-US" w:eastAsia="zh-CN" w:bidi="ar-SA"/>
              </w:rPr>
            </w:pPr>
            <w:r>
              <w:rPr>
                <w:rFonts w:hint="eastAsia" w:ascii="宋体" w:hAnsi="宋体" w:eastAsia="宋体" w:cs="宋体"/>
                <w:b w:val="0"/>
                <w:bCs w:val="0"/>
                <w:color w:val="auto"/>
                <w:highlight w:val="none"/>
                <w:u w:val="none"/>
                <w:lang w:val="en-US" w:eastAsia="zh-CN"/>
              </w:rPr>
              <w:t xml:space="preserve">注：提供加盖业主单位公章的工作经验证明材料和供应商为其缴纳</w:t>
            </w:r>
            <w:r>
              <w:rPr>
                <w:rFonts w:hint="eastAsia" w:ascii="宋体" w:hAnsi="宋体" w:cs="宋体"/>
                <w:b w:val="0"/>
                <w:bCs w:val="0"/>
                <w:color w:val="auto"/>
                <w:highlight w:val="none"/>
                <w:u w:val="none"/>
                <w:lang w:val="en-US" w:eastAsia="zh-CN"/>
              </w:rPr>
              <w:t xml:space="preserve">2025</w:t>
            </w:r>
            <w:r>
              <w:rPr>
                <w:rFonts w:hint="eastAsia" w:ascii="宋体" w:hAnsi="宋体" w:eastAsia="宋体" w:cs="宋体"/>
                <w:b w:val="0"/>
                <w:bCs w:val="0"/>
                <w:color w:val="auto"/>
                <w:highlight w:val="none"/>
                <w:u w:val="none"/>
                <w:lang w:val="en-US" w:eastAsia="zh-CN"/>
              </w:rPr>
              <w:t xml:space="preserve">年</w:t>
            </w:r>
            <w:r>
              <w:rPr>
                <w:rFonts w:hint="eastAsia" w:ascii="宋体" w:hAnsi="宋体" w:cs="宋体"/>
                <w:b w:val="0"/>
                <w:bCs w:val="0"/>
                <w:color w:val="auto"/>
                <w:highlight w:val="none"/>
                <w:u w:val="none"/>
                <w:lang w:val="en-US" w:eastAsia="zh-CN"/>
              </w:rPr>
              <w:t xml:space="preserve">6</w:t>
            </w:r>
            <w:r>
              <w:rPr>
                <w:rFonts w:hint="eastAsia" w:ascii="宋体" w:hAnsi="宋体" w:eastAsia="宋体" w:cs="宋体"/>
                <w:b w:val="0"/>
                <w:bCs w:val="0"/>
                <w:color w:val="auto"/>
                <w:highlight w:val="none"/>
                <w:u w:val="none"/>
                <w:lang w:val="en-US" w:eastAsia="zh-CN"/>
              </w:rPr>
              <w:t xml:space="preserve">月1日以来至少一个月的社保证明，以上证明材料齐全得</w:t>
            </w:r>
            <w:r>
              <w:rPr>
                <w:rFonts w:hint="eastAsia" w:ascii="宋体" w:hAnsi="宋体" w:cs="宋体"/>
                <w:b w:val="0"/>
                <w:bCs w:val="0"/>
                <w:color w:val="auto"/>
                <w:highlight w:val="none"/>
                <w:u w:val="none"/>
                <w:lang w:val="en-US" w:eastAsia="zh-CN"/>
              </w:rPr>
              <w:t xml:space="preserve">2</w:t>
            </w:r>
            <w:r>
              <w:rPr>
                <w:rFonts w:hint="eastAsia" w:ascii="宋体" w:hAnsi="宋体" w:eastAsia="宋体" w:cs="宋体"/>
                <w:b w:val="0"/>
                <w:bCs w:val="0"/>
                <w:color w:val="auto"/>
                <w:highlight w:val="none"/>
                <w:u w:val="none"/>
                <w:lang w:val="en-US" w:eastAsia="zh-CN"/>
              </w:rPr>
              <w:t xml:space="preserve">分，缺项或未提供的不得分。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2</w:t>
            </w:r>
            <w:r/>
          </w:p>
        </w:tc>
        <w:tc>
          <w:tcPr>
            <w:tcW w:w="78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客观分</w:t>
            </w:r>
            <w:r/>
          </w:p>
        </w:tc>
      </w:tr>
      <w:tr>
        <w:trPr>
          <w:jc w:val="center"/>
          <w:trHeight w:val="1140"/>
        </w:trPr>
        <w:tc>
          <w:tcPr>
            <w:tcW w:w="51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4.7</w:t>
            </w:r>
            <w:r/>
          </w:p>
        </w:tc>
        <w:tc>
          <w:tcPr>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履约能力7</w:t>
            </w:r>
            <w:r/>
          </w:p>
        </w:tc>
        <w:tc>
          <w:tcPr>
            <w:tcW w:w="673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000000"/>
                <w:sz w:val="21"/>
                <w:szCs w:val="22"/>
                <w:highlight w:val="none"/>
                <w:u w:val="none"/>
                <w:lang w:val="en-US" w:eastAsia="zh-CN" w:bidi="ar-SA"/>
              </w:rPr>
            </w:pPr>
            <w:r>
              <w:rPr>
                <w:rFonts w:hint="eastAsia" w:ascii="宋体" w:hAnsi="宋体" w:eastAsia="宋体" w:cs="宋体"/>
                <w:color w:val="000000"/>
                <w:sz w:val="21"/>
                <w:szCs w:val="21"/>
                <w:highlight w:val="none"/>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格式自拟）的得1分，未提供不得分。</w:t>
            </w:r>
            <w:r/>
          </w:p>
        </w:tc>
        <w:tc>
          <w:tcPr>
            <w:tcW w:w="4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1</w:t>
            </w:r>
            <w:r/>
          </w:p>
        </w:tc>
        <w:tc>
          <w:tcPr>
            <w:tcW w:w="78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客观分</w:t>
            </w:r>
            <w:r/>
          </w:p>
        </w:tc>
      </w:tr>
      <w:tr>
        <w:trPr>
          <w:jc w:val="center"/>
        </w:trPr>
        <w:tc>
          <w:tcPr>
            <w:tcW w:w="519" w:type="dxa"/>
            <w:vAlign w:val="center"/>
            <w:textDirection w:val="lrTb"/>
            <w:noWrap w:val="false"/>
          </w:tcPr>
          <w:p>
            <w:pPr>
              <w:jc w:val="center"/>
              <w:keepLines w:val="0"/>
              <w:keepNext w:val="0"/>
              <w:pageBreakBefore w:val="0"/>
              <w:spacing w:line="240" w:lineRule="auto"/>
              <w:widowControl w:val="off"/>
              <w:rPr>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p>
        </w:tc>
        <w:tc>
          <w:tcPr>
            <w:gridSpan w:val="2"/>
            <w:tcW w:w="7917" w:type="dxa"/>
            <w:vAlign w:val="center"/>
            <w:textDirection w:val="lrTb"/>
            <w:noWrap w:val="false"/>
          </w:tcPr>
          <w:p>
            <w:pPr>
              <w:ind w:left="172"/>
              <w:jc w:val="center"/>
              <w:keepLines w:val="0"/>
              <w:keepNext w:val="0"/>
              <w:pageBreakBefore w:val="0"/>
              <w:spacing w:before="123" w:line="240"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234" w:type="dxa"/>
            <w:vAlign w:val="center"/>
            <w:textDirection w:val="lrTb"/>
            <w:noWrap w:val="false"/>
          </w:tcPr>
          <w:p>
            <w:pPr>
              <w:jc w:val="center"/>
              <w:keepLines w:val="0"/>
              <w:keepNext w:val="0"/>
              <w:pageBreakBefore w:val="0"/>
              <w:spacing w:line="240" w:lineRule="auto"/>
              <w:widowControl w:val="off"/>
              <w:rPr>
                <w:color w:val="000000"/>
                <w:highlight w:val="none"/>
              </w:rPr>
            </w:pPr>
            <w:r>
              <w:rPr>
                <w:rFonts w:ascii="宋体" w:hAnsi="宋体" w:eastAsia="宋体" w:cs="宋体"/>
                <w:color w:val="000000"/>
                <w:spacing w:val="-11"/>
                <w:highlight w:val="none"/>
              </w:rPr>
              <w:t xml:space="preserve">100分</w:t>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53"/>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5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5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5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5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附件：</w:t>
      </w:r>
      <w:r/>
    </w:p>
    <w:p>
      <w:pPr>
        <w:ind w:firstLine="480"/>
        <w:keepLines w:val="0"/>
        <w:keepNext w:val="0"/>
        <w:pageBreakBefore w:val="0"/>
        <w:spacing w:line="240" w:lineRule="auto"/>
        <w:widowControl w:val="off"/>
        <w:rPr>
          <w:rFonts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考核细则</w:t>
      </w:r>
      <w:r/>
    </w:p>
    <w:tbl>
      <w:tblPr>
        <w:tblStyle w:val="7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9"/>
        <w:gridCol w:w="3669"/>
        <w:gridCol w:w="3261"/>
        <w:gridCol w:w="910"/>
      </w:tblGrid>
      <w:tr>
        <w:trPr>
          <w:trHeight w:val="412"/>
        </w:trPr>
        <w:tc>
          <w:tcPr>
            <w:tcW w:w="1329"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评估项目</w:t>
            </w:r>
            <w:r/>
          </w:p>
        </w:tc>
        <w:tc>
          <w:tcPr>
            <w:tcW w:w="3669"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标准内容</w:t>
            </w:r>
            <w:r/>
          </w:p>
        </w:tc>
        <w:tc>
          <w:tcPr>
            <w:tcW w:w="3261"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评分细则</w:t>
            </w:r>
            <w:r/>
          </w:p>
        </w:tc>
        <w:tc>
          <w:tcPr>
            <w:tcW w:w="910"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考评分</w:t>
            </w:r>
            <w:r/>
          </w:p>
        </w:tc>
      </w:tr>
      <w:tr>
        <w:trPr>
          <w:trHeight w:val="457"/>
        </w:trPr>
        <w:tc>
          <w:tcPr>
            <w:tcW w:w="1329" w:type="dxa"/>
            <w:vAlign w:val="center"/>
            <w:vMerge w:val="restart"/>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组织有力（10分）  </w:t>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1、依据小区情况，组建物业或项目服务团队，人员架构合理。（4分）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未建立物业或项目服务团队，扣4分；已建立服务团队但人员构架不合理，扣2分。</w:t>
            </w:r>
            <w:r/>
          </w:p>
        </w:tc>
        <w:tc>
          <w:tcPr>
            <w:tcW w:w="910" w:type="dxa"/>
            <w:vAlign w:val="center"/>
            <w:vMerge w:val="restart"/>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1001"/>
        </w:trPr>
        <w:tc>
          <w:tcPr>
            <w:tcW w:w="1329" w:type="dxa"/>
            <w:vAlign w:val="center"/>
            <w:vMerge w:val="continue"/>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2、物业团队或物业管理单位，参与到社区物业工作站建设和服务中，融入矛盾协调联席会议机制，发挥积极作用。（6分）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物业团队或物业管理单位未积极参与到社区工作站的建设和服务中，扣6分；积极参与社区工作站建设和服务但未贯彻落实矛盾协调联席会议制度，扣3分。</w:t>
            </w:r>
            <w:r/>
          </w:p>
        </w:tc>
        <w:tc>
          <w:tcPr>
            <w:tcW w:w="910" w:type="dxa"/>
            <w:vAlign w:val="center"/>
            <w:vMerge w:val="continue"/>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95"/>
        </w:trPr>
        <w:tc>
          <w:tcPr>
            <w:tcW w:w="1329"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得分</w:t>
            </w:r>
            <w:r/>
          </w:p>
        </w:tc>
        <w:tc>
          <w:tcPr>
            <w:gridSpan w:val="3"/>
            <w:tcW w:w="784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1067"/>
        </w:trPr>
        <w:tc>
          <w:tcPr>
            <w:tcW w:w="1329" w:type="dxa"/>
            <w:vAlign w:val="top"/>
            <w:vMerge w:val="restart"/>
            <w:textDirection w:val="lrTb"/>
            <w:noWrap w:val="false"/>
          </w:tcPr>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履约尽责（65分）</w:t>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1、依法签订物业服务合同，根据合同约定各类岗位人员配置到位，重要、特殊岗位人员持证上岗；物业服务合同符合要求的，应当及时在街道备案。（2分）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按照物业服务合同人员配置不到位，扣1分；物业服务合同未在街道备案，扣1分。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2、建立健全各项管理制度，定人、定岗、定责，并进行公示，设立服务、报修、投诉等专线或平台，确保正常运行。（2分）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主要检查：物业管理服务工作制度、质量保证制度、岗位考核制度等。每发现一处不完整不规范，扣0.5分；未设立服务、报修、投诉等专线，扣1分。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3、建立信息公示制度，公示企业法人营业执照及资质证书，公示物业管理项目负责人的基本情况、联系方式、教育培训记录证明，公示物业服务投诉电话，公示物业服务合同约定的服务内容、服务标准、收费事项、收费方式等，公示电梯、消防、监控等专项设备的维修保养单位的名称、资质、联系方式和应急处置方案等。（2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未建立信息公示制度，扣2分；已建立信息公示制度但信息公示内容不完善，扣1分。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4、按照合同约定及时解决职责范围内的各类维修事项，不拖延、不推诿，及时消除矛盾隐患，建立报修和维修台账记录。（2分）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未及时、妥善处理职责范围内的各类维修事项，消除矛盾隐患，扣2分。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5、保持公共区域整洁，广场、活动中心、公厕、楼道、停车场（车棚）、道路、绿化等公共部位的清洁，无纸屑、烟头、果皮、枯枝等杂物；无明显灰尘或垃圾堆积，无卫生死角。（4分）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每发现一处垃圾、卫生死角等，扣1分。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6、垃圾房、垃圾桶清洁，配备充足无损坏，周围无大面积污渍物。（3分）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每发现一处损坏，扣1分；每发现一处大面积污渍，扣1分。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7、生活垃圾日产日清，有序开展垃圾分类工作；装修垃圾集中投放，保持堆放有序、不凌乱、无异味，定期清理。（4分）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每发现一处垃圾清理工作不及时，扣1分。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8、落实各项消杀工作，及时灭鼠、灭蝇、灭蚊，并有消杀记录。（2分）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未落实消杀工作，扣2分；已落实消杀工作但消杀记录不齐全，扣1分。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9、对小区绿化定期进行修剪养护，有记录；小区内无黄土裸露，无杂草、杂物；对业主在绿化带上晾晒、乱种植、占用、毁绿等行为及时制止，上报执法部门，有记录。（4分）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未定期对绿化进行养护，扣1分；有黄土裸露、杂草、杂物，扣1分；发现在绿化带上晾晒、乱种植、占用、毁绿等行为，扣2分。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10、道路通畅，路面平整；井盖无损坏、无丢失，不影响车辆和行人通行。（2分）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每发现一处道路损坏，扣0.5分；每发现一处井盖缺失，扣0.5分。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11、排水、排污管道通畅，无堵塞外溢现象，定期疏通，有相关记录。（2分）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每发现一处管道不通，扣1分；未及时疏通、无疏通记录，扣1分。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12、公共区域的监控、照明、健身器材等各类设施基本完好无损、可正常使用、无事故，检查、维修、保养等记录齐全。（3分）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每发现一处设施设备损坏或无故不能正常运行，扣1分；无检查、维修、保养台账，扣1分。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13、灭火器、消防栓等消防设施完好无损、未超过使用期限；消防栓始终保持有水的状态；消防设施设备落实专人保养、检测，并有检查记录。（4分）</w:t>
            </w:r>
            <w:r/>
          </w:p>
        </w:tc>
        <w:tc>
          <w:tcPr>
            <w:tcW w:w="3261" w:type="dxa"/>
            <w:vAlign w:val="center"/>
            <w:textDirection w:val="lrTb"/>
            <w:noWrap w:val="false"/>
          </w:tcPr>
          <w:p>
            <w:pPr>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灭火器等消防设施超过使用期限，无法使用，扣2分；消防栓无水，扣1分；消防设施无定期检查记录，扣1分。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14、小区内的电梯正常运行，电梯内张贴年检标识、抢修电话和96333救援电话；检查、维修、保养记录齐全。（4分）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电梯无故不能正常运行且未告知业主，扣1分；电梯内无年检标识、抢修电话、96333救援电话，扣2分；检查、检修、保养无记录，扣1分。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15、房屋外观立面整洁，无大面积污迹；对房屋公共部位进行定期维护，检查、检修、保养记录齐全。（3分）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每发现一处不完好、不整洁、脱落、污损，扣1分；检查记录不齐全，扣1分。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16、对小区内有危险、隐患的部位应设置安全防范措施和警示标识。（2分）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危险部位未设有安全防范措施和警示标识，每发现一处扣1分。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17、车辆行驶、停放管理有序，机动车和非机动车无乱停乱放现象。（3分）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每发现一处车辆无序停放，扣0.5分；每发现一处车辆占用、堵塞消防通道，扣1分。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18、小区内无乱设摊点、乱设广告和乱贴、乱画、乱堆放现象。（3分）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每发现一处乱设摊点、乱设广告、乱贴、乱画、乱堆放，扣1分。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19、小区内无私拉乱接，无“飞线充电”现象。（3分）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每发现一处私拉乱接、“飞线充电”现象，扣1分。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根据小区实际情况制定物业管理区域内安全防范应急预案；按照合同约定和等级服务标准，小区出入口、监控室有专人值班，并有详细的交接班记录；制定小区巡查线路，安排专人每日在小区内进行巡查，有巡查记录。（3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未制定安全防范应急预案，扣1分；小区出入口、监控室无专人值班值守，扣1分；未落实专人在小区巡查，无巡查记录，扣1分。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21、按合同约定，公共收益单独建账，定期公示。（2分）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公共收益未单独建账、未定期公示，扣2分。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按照管理规约要求，建立完善装修管理制度并落实，对住户装修登记造册；对住户装修进行日常检查，对违反规划乱搭乱建、违章装修或擅自改变房屋结构用途的行为及时劝阻、制止；劝阻、制止无效的，及时报告业委会和有关主管部门，有记录。（4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未建立装修管理制度，对住户装修未登记，扣1分；对装修住户未定期检查，无检查记录，扣1分；发现装修违规、违建行为，未上报，扣2分。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top"/>
            <w:vMerge w:val="continue"/>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23、业主档案资料建立健全（包含住户基本情况、房屋维修档案等），进行动态管理；房屋及其共用设施设备档案资料齐全，分类成册，管理完善，查阅方便。（2分）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未建立业主档案清册，扣1分；未建立房屋及其共用设施档案清册，扣1分。</w:t>
            </w:r>
            <w:r/>
          </w:p>
        </w:tc>
        <w:tc>
          <w:tcPr>
            <w:tcW w:w="910" w:type="dxa"/>
            <w:vAlign w:val="top"/>
            <w:textDirection w:val="lrTb"/>
            <w:noWrap w:val="false"/>
          </w:tcPr>
          <w:p>
            <w:pPr>
              <w:pStyle w:val="1026"/>
              <w:spacing w:before="120" w:after="120" w:line="0" w:lineRule="atLeas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r>
      <w:tr>
        <w:trPr/>
        <w:tc>
          <w:tcPr>
            <w:tcW w:w="1329"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得分</w:t>
            </w:r>
            <w:r/>
          </w:p>
        </w:tc>
        <w:tc>
          <w:tcPr>
            <w:gridSpan w:val="3"/>
            <w:tcW w:w="784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vMerge w:val="restart"/>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支持配合（10分）  </w:t>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1、有社会责任感，积极参与和响应疫情防控、防汛抗洪、扫雪防冻、垃圾分类、文明城市创建等上级重点任务或号召，有效组织各类力量，有力投入各项物资。（6分）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未积极参与的或在重点任务中造成负面影响，扣6分。</w:t>
            </w:r>
            <w:r/>
          </w:p>
        </w:tc>
        <w:tc>
          <w:tcPr>
            <w:tcW w:w="910" w:type="dxa"/>
            <w:vAlign w:val="center"/>
            <w:vMerge w:val="restart"/>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vMerge w:val="continue"/>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2、与社区建立良性互动沟通机制，积极配合协助社区各项管理工作或服务的开展，与社区建立信息共享机制。（4分）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不配合社区开展各项工作，扣4分。</w:t>
            </w:r>
            <w:r/>
          </w:p>
        </w:tc>
        <w:tc>
          <w:tcPr>
            <w:tcW w:w="910" w:type="dxa"/>
            <w:vAlign w:val="center"/>
            <w:vMerge w:val="continue"/>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得分</w:t>
            </w:r>
            <w:r/>
          </w:p>
        </w:tc>
        <w:tc>
          <w:tcPr>
            <w:gridSpan w:val="3"/>
            <w:tcW w:w="784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vMerge w:val="restart"/>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12345和信访件处理情况（15分）</w:t>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1、与社区及相关部门联动，积极主动参与12345及各类信访件的核实处理工作，对诉求人的合理诉求能够及时反馈、快速处理，做到不拖延、不推诿，包括信息照片等资料的提供、现场处理情况的说明等。（5分）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未积极配合12345工单及信访件信息核实、情况说明等工作，扣5分。</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vMerge w:val="continue"/>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涉及</w:t>
            </w:r>
            <w:r>
              <w:rPr>
                <w:rFonts w:hint="eastAsia" w:ascii="宋体" w:hAnsi="宋体" w:eastAsia="宋体" w:cs="宋体"/>
                <w:color w:val="000000"/>
                <w:sz w:val="21"/>
                <w:szCs w:val="21"/>
                <w:highlight w:val="none"/>
              </w:rPr>
              <w:t xml:space="preserve">需面办的12345工单及各类信访件，应落实专人负责对接社区及相关部门，协助做好与业主的上门核实、入户沟通、矛盾化解等，并积极提供面办条件。（4分）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未落实专人参与12345及信访件面办工作，扣1分；未协助做好信息核实、矛盾化解工作，扣2分。</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vMerge w:val="continue"/>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3、相关物业管理服务类工单总体呈下降趋势、工单办理满意率逐步提升（6分）</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物业管理类工单大量群发或持续上升，扣3分；物业管理类工单满意率低于街道平均办单满意率或持续下降，扣3分。</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57"/>
        </w:trPr>
        <w:tc>
          <w:tcPr>
            <w:tcW w:w="1329"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得分</w:t>
            </w:r>
            <w:r/>
          </w:p>
        </w:tc>
        <w:tc>
          <w:tcPr>
            <w:gridSpan w:val="3"/>
            <w:tcW w:w="7840"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329"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1、物业服务企业在本项目的党员数达3人的，建立党小组；达不到3人的，党员归入该片区党小组或党支部，积极主动纳入社区党建范畴，党建引领物业服务。</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加3分（需提供相关证明材料）</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2、积极参与社区或自行探索“先解决问题再说”的新型物业服务模式。</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服务站点已正常投入使用，加5分</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3、积极开展各类小区公益服务或组织各类文化活动，节日慰问、扶贫帮困等。</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每开展一次加2分，10分封顶。（需提供相关证明材料）</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4、企业或服务人员因物业服务获得表彰奖励或被业主赠送锦旗或好人好事推广等。</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获得一项加1分，封顶4分。（需提供相关证明材料）</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5、优秀服务案例被区及以上主要领导现场调研，或被市级及以上主流媒体宣传报道。</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加4分（需提供相关证明材料）</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6、管理项目服务人员获得市级区级或街道各类荣誉及表彰。</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市级及以上每个4分、区级3分街道2分，10分封顶。（需提供相关证明材料）</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7、因物业服务问题引发12345工单投诉群发。</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本月内每发生一次12345工单群发，扣5分。</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1329"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3669"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8、因管理不当造成安全责任事故，引发群体性矛盾或投诉，或引发负面舆情。</w:t>
            </w:r>
            <w:r/>
          </w:p>
        </w:tc>
        <w:tc>
          <w:tcPr>
            <w:tcW w:w="3261"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一次扣5分</w:t>
            </w:r>
            <w:r/>
          </w:p>
        </w:tc>
        <w:tc>
          <w:tcPr>
            <w:tcW w:w="91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80"/>
        </w:trPr>
        <w:tc>
          <w:tcPr>
            <w:tcW w:w="1329"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得分</w:t>
            </w:r>
            <w:r/>
          </w:p>
        </w:tc>
        <w:tc>
          <w:tcPr>
            <w:gridSpan w:val="3"/>
            <w:tcW w:w="784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75"/>
        </w:trPr>
        <w:tc>
          <w:tcPr>
            <w:tcW w:w="1329" w:type="dxa"/>
            <w:vAlign w:val="center"/>
            <w:textDirection w:val="lrTb"/>
            <w:noWrap w:val="false"/>
          </w:tcPr>
          <w:p>
            <w:pPr>
              <w:jc w:val="center"/>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总评分</w:t>
            </w:r>
            <w:r/>
          </w:p>
        </w:tc>
        <w:tc>
          <w:tcPr>
            <w:gridSpan w:val="3"/>
            <w:tcW w:w="7840" w:type="dxa"/>
            <w:vAlign w:val="center"/>
            <w:textDirection w:val="lrTb"/>
            <w:noWrap w:val="false"/>
          </w:tcPr>
          <w:p>
            <w:pPr>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026"/>
        <w:spacing w:before="120" w:after="120" w:line="0" w:lineRule="atLeas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注：</w:t>
      </w:r>
      <w:r/>
    </w:p>
    <w:p>
      <w:pPr>
        <w:pStyle w:val="1026"/>
        <w:spacing w:before="120" w:after="120" w:line="0" w:lineRule="atLeast"/>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rPr>
        <w:t xml:space="preserve">1.评估得分</w:t>
      </w:r>
      <w:r>
        <w:rPr>
          <w:rFonts w:hint="eastAsia" w:ascii="宋体" w:hAnsi="宋体" w:eastAsia="宋体" w:cs="宋体"/>
          <w:bCs/>
          <w:color w:val="000000"/>
          <w:sz w:val="21"/>
          <w:szCs w:val="24"/>
          <w:highlight w:val="none"/>
          <w:lang w:val="en-US" w:eastAsia="zh-CN"/>
        </w:rPr>
        <w:t xml:space="preserve">在</w:t>
      </w:r>
      <w:r>
        <w:rPr>
          <w:rFonts w:hint="eastAsia" w:ascii="宋体" w:hAnsi="宋体" w:eastAsia="宋体" w:cs="宋体"/>
          <w:bCs/>
          <w:color w:val="000000"/>
          <w:sz w:val="21"/>
          <w:szCs w:val="24"/>
          <w:highlight w:val="none"/>
        </w:rPr>
        <w:t xml:space="preserve">90</w:t>
      </w:r>
      <w:r>
        <w:rPr>
          <w:rFonts w:hint="eastAsia" w:ascii="宋体" w:hAnsi="宋体" w:eastAsia="宋体" w:cs="宋体"/>
          <w:bCs/>
          <w:color w:val="000000"/>
          <w:sz w:val="21"/>
          <w:szCs w:val="24"/>
          <w:highlight w:val="none"/>
          <w:lang w:val="en-US" w:eastAsia="zh-CN"/>
        </w:rPr>
        <w:t xml:space="preserve">分以上</w:t>
      </w:r>
      <w:r>
        <w:rPr>
          <w:rFonts w:hint="eastAsia" w:ascii="宋体" w:hAnsi="宋体" w:eastAsia="宋体" w:cs="宋体"/>
          <w:bCs/>
          <w:color w:val="000000"/>
          <w:sz w:val="21"/>
          <w:szCs w:val="24"/>
          <w:highlight w:val="none"/>
        </w:rPr>
        <w:t xml:space="preserve">，按合同约定应付款项付款；</w:t>
      </w:r>
      <w:r/>
    </w:p>
    <w:p>
      <w:pPr>
        <w:pStyle w:val="1026"/>
        <w:spacing w:before="120" w:after="120" w:line="0" w:lineRule="atLeast"/>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rPr>
        <w:t xml:space="preserve">2.评估得分在80-89</w:t>
      </w:r>
      <w:r>
        <w:rPr>
          <w:rFonts w:hint="eastAsia" w:ascii="宋体" w:hAnsi="宋体" w:eastAsia="宋体" w:cs="宋体"/>
          <w:bCs/>
          <w:color w:val="000000"/>
          <w:sz w:val="21"/>
          <w:szCs w:val="24"/>
          <w:highlight w:val="none"/>
          <w:lang w:val="en-US" w:eastAsia="zh-CN"/>
        </w:rPr>
        <w:t xml:space="preserve">分</w:t>
      </w:r>
      <w:r>
        <w:rPr>
          <w:rFonts w:hint="eastAsia" w:ascii="宋体" w:hAnsi="宋体" w:eastAsia="宋体" w:cs="宋体"/>
          <w:bCs/>
          <w:color w:val="000000"/>
          <w:sz w:val="21"/>
          <w:szCs w:val="24"/>
          <w:highlight w:val="none"/>
        </w:rPr>
        <w:t xml:space="preserve">之间，按照每低于90分1分扣5000元的办法依次类推；</w:t>
      </w:r>
      <w:r/>
    </w:p>
    <w:p>
      <w:pPr>
        <w:pStyle w:val="1026"/>
        <w:spacing w:before="120" w:after="120" w:line="0" w:lineRule="atLeast"/>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rPr>
        <w:t xml:space="preserve">3.评估得分在70-79</w:t>
      </w:r>
      <w:r>
        <w:rPr>
          <w:rFonts w:hint="eastAsia" w:ascii="宋体" w:hAnsi="宋体" w:eastAsia="宋体" w:cs="宋体"/>
          <w:bCs/>
          <w:color w:val="000000"/>
          <w:sz w:val="21"/>
          <w:szCs w:val="24"/>
          <w:highlight w:val="none"/>
          <w:lang w:val="en-US" w:eastAsia="zh-CN"/>
        </w:rPr>
        <w:t xml:space="preserve">分</w:t>
      </w:r>
      <w:r>
        <w:rPr>
          <w:rFonts w:hint="eastAsia" w:ascii="宋体" w:hAnsi="宋体" w:eastAsia="宋体" w:cs="宋体"/>
          <w:bCs/>
          <w:color w:val="000000"/>
          <w:sz w:val="21"/>
          <w:szCs w:val="24"/>
          <w:highlight w:val="none"/>
        </w:rPr>
        <w:t xml:space="preserve">之间，按照每低于80分1分扣10000元的办法依次类推；</w:t>
      </w:r>
      <w:r/>
    </w:p>
    <w:p>
      <w:pPr>
        <w:pStyle w:val="1026"/>
        <w:spacing w:before="120" w:after="120" w:line="0" w:lineRule="atLeast"/>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rPr>
        <w:t xml:space="preserve">4.评估得分低于70分时，甲方有权单方面终止合同，不另行补偿任何费用给乙方。</w:t>
      </w:r>
      <w:r/>
    </w:p>
    <w:p>
      <w:pPr>
        <w:pStyle w:val="1026"/>
        <w:spacing w:before="120" w:after="120" w:line="0" w:lineRule="atLeast"/>
        <w:rPr>
          <w:rFonts w:hint="eastAsia" w:ascii="宋体" w:hAnsi="宋体" w:eastAsia="宋体" w:cs="宋体"/>
          <w:bCs/>
          <w:color w:val="000000"/>
          <w:sz w:val="21"/>
          <w:szCs w:val="24"/>
          <w:highlight w:val="none"/>
        </w:rPr>
      </w:pPr>
      <w:r>
        <w:rPr>
          <w:rFonts w:hint="eastAsia" w:ascii="宋体" w:hAnsi="宋体" w:eastAsia="宋体" w:cs="宋体"/>
          <w:bCs/>
          <w:color w:val="000000"/>
          <w:sz w:val="21"/>
          <w:szCs w:val="24"/>
          <w:highlight w:val="none"/>
        </w:rPr>
        <w:t xml:space="preserve">5.前三个月试用期内，如连续三个月考核得分在75分（含）以下的，视为考核不合格，甲方有权单方面终止合同，不另行补偿任何费用给乙方。</w:t>
      </w:r>
      <w:r/>
    </w:p>
    <w:p>
      <w:pPr>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172"/>
      <w:r/>
      <w:bookmarkEnd w:id="173"/>
      <w:r/>
      <w:bookmarkEnd w:id="174"/>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p>
    <w:p>
      <w:pPr>
        <w:jc w:val="center"/>
        <w:rPr>
          <w:rFonts w:hint="eastAsia" w:ascii="宋体" w:hAnsi="宋体"/>
          <w:b/>
          <w:color w:val="000000"/>
          <w:sz w:val="72"/>
          <w:szCs w:val="21"/>
          <w:highlight w:val="none"/>
        </w:rPr>
      </w:pPr>
      <w:r/>
      <w:bookmarkStart w:id="179" w:name="_Hlt26955039"/>
      <w:r/>
      <w:bookmarkEnd w:id="179"/>
      <w:r/>
      <w:bookmarkStart w:id="180" w:name="_Hlt26671244"/>
      <w:r/>
      <w:bookmarkEnd w:id="180"/>
      <w:r/>
      <w:bookmarkStart w:id="181" w:name="_Toc26554094"/>
      <w:r/>
      <w:bookmarkStart w:id="182" w:name="_Toc120614282"/>
      <w:r/>
      <w:bookmarkStart w:id="183"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bookmarkEnd w:id="170"/>
      <w:r/>
      <w:bookmarkEnd w:id="171"/>
      <w:r/>
      <w:bookmarkEnd w:id="181"/>
      <w:r/>
      <w:bookmarkEnd w:id="182"/>
      <w:r/>
      <w:bookmarkEnd w:id="183"/>
      <w:r>
        <w:rPr>
          <w:rFonts w:hint="eastAsia" w:ascii="宋体" w:hAnsi="宋体"/>
          <w:b/>
          <w:bCs/>
          <w:color w:val="000000"/>
          <w:sz w:val="32"/>
          <w:szCs w:val="32"/>
          <w:highlight w:val="none"/>
        </w:rPr>
        <w:t xml:space="preserve">响应文件目录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四、磋商响应函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五、磋商报价明细表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六、实质性要求响应及偏离表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九、联合体协议（如有）</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十、报价一览表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p>
    <w:p>
      <w:pPr>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lang w:val="en-US" w:eastAsia="zh-CN"/>
        </w:rPr>
        <w:t xml:space="preserve">六合分中心</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16"/>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t xml:space="preserve">说明：执行南京市财政局《关于在政府采购活动中推行信用承诺制的通知》（宁财购通</w:t>
      </w:r>
      <w:r>
        <w:rPr>
          <w:rFonts w:hint="eastAsia" w:ascii="宋体" w:hAnsi="宋体" w:eastAsia="宋体" w:cs="Times New Roman"/>
          <w:b w:val="0"/>
          <w:bCs w:val="0"/>
          <w:color w:val="000000"/>
          <w:sz w:val="24"/>
          <w:szCs w:val="24"/>
          <w:highlight w:val="none"/>
          <w:lang w:val="zh-CN"/>
        </w:rPr>
        <w:t xml:space="preserve">〔202</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zh-CN"/>
        </w:rPr>
        <w:t xml:space="preserve">〕5号</w:t>
      </w:r>
      <w:r>
        <w:rPr>
          <w:rFonts w:hint="eastAsia" w:ascii="宋体" w:hAnsi="宋体"/>
          <w:b w:val="0"/>
          <w:bCs w:val="0"/>
          <w:color w:val="000000"/>
          <w:sz w:val="24"/>
          <w:szCs w:val="24"/>
          <w:highlight w:val="none"/>
          <w:lang w:eastAsia="zh-CN"/>
        </w:rPr>
        <w:t xml:space="preserve">）要求。</w:t>
      </w:r>
      <w:r/>
    </w:p>
    <w:p>
      <w:pPr>
        <w:pStyle w:val="730"/>
        <w:rPr>
          <w:rFonts w:hint="eastAsia"/>
          <w:color w:val="000000"/>
          <w:highlight w:val="none"/>
          <w:lang w:eastAsia="zh-CN"/>
        </w:rPr>
      </w:pPr>
      <w:r>
        <w:rPr>
          <w:rFonts w:hint="eastAsia"/>
          <w:color w:val="000000"/>
          <w:highlight w:val="none"/>
          <w:lang w:eastAsia="zh-CN"/>
        </w:rPr>
      </w:r>
      <w:r/>
    </w:p>
    <w:p>
      <w:pPr>
        <w:pStyle w:val="730"/>
        <w:rPr>
          <w:rFonts w:hint="eastAsia"/>
          <w:color w:val="000000"/>
          <w:highlight w:val="none"/>
          <w:lang w:eastAsia="zh-CN"/>
        </w:rPr>
      </w:pPr>
      <w:r>
        <w:rPr>
          <w:rFonts w:hint="eastAsia"/>
          <w:color w:val="000000"/>
          <w:highlight w:val="none"/>
          <w:lang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如果本项目申请人的特定资格要求中要求提供的，必须提供。</w:t>
      </w:r>
      <w:r/>
    </w:p>
    <w:p>
      <w:pPr>
        <w:spacing w:line="460" w:lineRule="exact"/>
        <w:rPr>
          <w:rFonts w:hint="eastAsia" w:ascii="宋体" w:hAnsi="宋体"/>
          <w:bCs/>
          <w:color w:val="000000"/>
          <w:sz w:val="24"/>
          <w:szCs w:val="21"/>
          <w:highlight w:val="none"/>
        </w:rPr>
      </w:pPr>
      <w:r/>
      <w:bookmarkStart w:id="184" w:name="_Toc120614284"/>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0"/>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p>
    <w:p>
      <w:pPr>
        <w:pStyle w:val="987"/>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lang w:eastAsia="zh-CN"/>
        </w:rPr>
        <w:t xml:space="preserve">JSZC-3201XX-JZCG-C202X-XXXX</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项目采购活动的合法代理人，以本单位名义全权处理一切与该项目采购有关的事务。</w:t>
      </w:r>
      <w:r/>
    </w:p>
    <w:p>
      <w:pPr>
        <w:pStyle w:val="987"/>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p>
    <w:p>
      <w:pPr>
        <w:pStyle w:val="987"/>
        <w:ind w:firstLine="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987"/>
        <w:ind w:firstLine="48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987"/>
        <w:ind w:firstLine="480"/>
        <w:keepLines w:val="0"/>
        <w:keepNext w:val="0"/>
        <w:pageBreakBefore w:val="0"/>
        <w:spacing w:line="48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987"/>
        <w:ind w:firstLine="48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单位地址：</w:t>
      </w:r>
      <w:r/>
    </w:p>
    <w:p>
      <w:pPr>
        <w:pStyle w:val="987"/>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85" w:name="_格式3__银行出具的资信证明"/>
      <w:r/>
      <w:bookmarkEnd w:id="185"/>
      <w:r/>
      <w:bookmarkStart w:id="186" w:name="_Hlt26671380"/>
      <w:r/>
      <w:bookmarkEnd w:id="186"/>
      <w:r/>
      <w:bookmarkStart w:id="187" w:name="_Hlt26955070"/>
      <w:r/>
      <w:bookmarkEnd w:id="187"/>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p>
    <w:p>
      <w:pPr>
        <w:jc w:val="left"/>
        <w:keepLines w:val="0"/>
        <w:keepNext w:val="0"/>
        <w:pageBreakBefore w:val="0"/>
        <w:spacing w:line="360" w:lineRule="auto"/>
        <w:widowControl w:val="off"/>
        <w:rPr>
          <w:rFonts w:ascii="宋体" w:hAnsi="宋体" w:eastAsia="宋体"/>
          <w:color w:val="000000"/>
          <w:sz w:val="24"/>
          <w:szCs w:val="21"/>
          <w:highlight w:val="none"/>
          <w:lang w:val="en-US"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南京市公共资源交易中心</w:t>
      </w:r>
      <w:r>
        <w:rPr>
          <w:rFonts w:hint="eastAsia" w:ascii="宋体" w:hAnsi="宋体"/>
          <w:color w:val="000000"/>
          <w:sz w:val="24"/>
          <w:szCs w:val="21"/>
          <w:highlight w:val="none"/>
          <w:lang w:val="en-US" w:eastAsia="zh-CN"/>
        </w:rPr>
        <w:t xml:space="preserve">六合分中心</w:t>
      </w:r>
      <w:r/>
    </w:p>
    <w:p>
      <w:pPr>
        <w:pStyle w:val="989"/>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lang w:eastAsia="zh-CN"/>
        </w:rPr>
        <w:t xml:space="preserve">JSZC-3201XX-JZCG-C202X-XXXX</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采购</w:t>
      </w:r>
      <w:r>
        <w:rPr>
          <w:rFonts w:hint="eastAsia" w:ascii="宋体" w:hAnsi="宋体"/>
          <w:color w:val="000000"/>
          <w:szCs w:val="21"/>
          <w:highlight w:val="none"/>
        </w:rPr>
        <w:t xml:space="preserve">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2" w:hAnsi="Wingdings 2" w:eastAsia="Wingdings 2" w:cs="Wingdings 2"/>
          <w:color w:val="000000"/>
          <w:sz w:val="24"/>
          <w:szCs w:val="24"/>
          <w:highlight w:val="none"/>
          <w:lang w:val="zh-CN"/>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2" w:hAnsi="Wingdings 2" w:eastAsia="Wingdings 2" w:cs="Wingdings 2"/>
          <w:color w:val="000000"/>
          <w:sz w:val="24"/>
          <w:szCs w:val="24"/>
          <w:highlight w:val="none"/>
          <w:lang w:val="zh-CN"/>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2" w:hAnsi="Wingdings 2" w:eastAsia="Wingdings 2" w:cs="Wingdings 2"/>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2" w:hAnsi="Wingdings 2" w:eastAsia="Wingdings 2" w:cs="Wingdings 2"/>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微型企业（对应</w:t>
      </w:r>
      <w:r>
        <w:rPr>
          <w:rFonts w:ascii="Wingdings 2" w:hAnsi="Wingdings 2" w:eastAsia="Wingdings 2" w:cs="Wingdings 2"/>
          <w:color w:val="000000"/>
          <w:sz w:val="24"/>
          <w:szCs w:val="24"/>
          <w:highlight w:val="none"/>
          <w:lang w:val="zh-CN"/>
        </w:rPr>
        <w:t xml:space="preserve">£</w:t>
      </w:r>
      <w:r>
        <w:rPr>
          <w:rFonts w:hint="eastAsia" w:ascii="宋体" w:hAnsi="宋体" w:eastAsia="宋体" w:cs="Times New Roman"/>
          <w:color w:val="000000"/>
          <w:sz w:val="24"/>
          <w:szCs w:val="24"/>
          <w:highlight w:val="none"/>
          <w:lang w:val="zh-CN" w:eastAsia="zh-CN"/>
        </w:rPr>
        <w:t xml:space="preserve">上打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.我方与本磋商有关的正式通讯地址为：</w:t>
      </w:r>
      <w:r/>
    </w:p>
    <w:p>
      <w:pPr>
        <w:pStyle w:val="989"/>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89"/>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98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98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98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98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989"/>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730"/>
        <w:rPr>
          <w:rFonts w:hint="eastAsia"/>
          <w:color w:val="000000"/>
          <w:highlight w:val="none"/>
        </w:rPr>
      </w:pPr>
      <w:r>
        <w:rPr>
          <w:rFonts w:hint="eastAsia"/>
          <w:color w:val="000000"/>
          <w:highlight w:val="non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五、磋商报价明细表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磋商报价明细表</w:t>
      </w:r>
      <w:r/>
    </w:p>
    <w:p>
      <w:pPr>
        <w:keepLines w:val="0"/>
        <w:keepNext w:val="0"/>
        <w:pageBreakBefore w:val="0"/>
        <w:spacing w:line="240" w:lineRule="auto"/>
        <w:rPr>
          <w:rFonts w:hint="eastAsia"/>
          <w:color w:val="000000"/>
          <w:highlight w:val="none"/>
          <w:lang w:val="en-US" w:eastAsia="zh-CN"/>
        </w:rPr>
      </w:pPr>
      <w:r>
        <w:rPr>
          <w:rFonts w:hint="eastAsia"/>
          <w:color w:val="000000"/>
          <w:highlight w:val="none"/>
          <w:lang w:val="en-US" w:eastAsia="zh-CN"/>
        </w:rPr>
        <w:t xml:space="preserve">供应商名称（加盖电子签章）：</w:t>
      </w:r>
      <w:r/>
    </w:p>
    <w:p>
      <w:pPr>
        <w:keepLines w:val="0"/>
        <w:keepNext w:val="0"/>
        <w:pageBreakBefore w:val="0"/>
        <w:spacing w:line="240" w:lineRule="auto"/>
        <w:rPr>
          <w:rFonts w:hint="eastAsia"/>
          <w:color w:val="000000"/>
          <w:highlight w:val="none"/>
          <w:lang w:val="en-US" w:eastAsia="zh-CN"/>
        </w:rPr>
      </w:pPr>
      <w:r>
        <w:rPr>
          <w:rFonts w:hint="eastAsia"/>
          <w:color w:val="000000"/>
          <w:highlight w:val="none"/>
          <w:lang w:val="en-US" w:eastAsia="zh-CN"/>
        </w:rPr>
        <w:t xml:space="preserve">项目名称：</w:t>
      </w:r>
      <w:r/>
    </w:p>
    <w:p>
      <w:pPr>
        <w:keepLines w:val="0"/>
        <w:keepNext w:val="0"/>
        <w:pageBreakBefore w:val="0"/>
        <w:spacing w:line="240" w:lineRule="auto"/>
        <w:rPr>
          <w:rFonts w:hint="eastAsia"/>
          <w:color w:val="000000"/>
          <w:highlight w:val="none"/>
          <w:lang w:val="en-US" w:eastAsia="zh-CN"/>
        </w:rPr>
      </w:pPr>
      <w:r>
        <w:rPr>
          <w:rFonts w:hint="eastAsia"/>
          <w:color w:val="000000"/>
          <w:highlight w:val="none"/>
          <w:lang w:val="en-US" w:eastAsia="zh-CN"/>
        </w:rPr>
        <w:t xml:space="preserve">项目编号：</w:t>
      </w:r>
      <w:r/>
    </w:p>
    <w:tbl>
      <w:tblPr>
        <w:tblStyle w:val="729"/>
        <w:tblW w:w="4896"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700"/>
        <w:gridCol w:w="798"/>
        <w:gridCol w:w="1213"/>
        <w:gridCol w:w="1205"/>
        <w:gridCol w:w="4097"/>
      </w:tblGrid>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分项名称</w:t>
            </w:r>
            <w:r/>
          </w:p>
        </w:tc>
        <w:tc>
          <w:tcPr>
            <w:tcW w:w="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W w:w="6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w:t>
            </w:r>
            <w:r/>
          </w:p>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（元/月）</w:t>
            </w:r>
            <w:r/>
          </w:p>
        </w:tc>
        <w:tc>
          <w:tcPr>
            <w:tcW w:w="6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分项小计</w:t>
            </w:r>
            <w:r/>
          </w:p>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（元/年）</w:t>
            </w:r>
            <w:r/>
          </w:p>
        </w:tc>
        <w:tc>
          <w:tcPr>
            <w:tcW w:w="20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人员工资</w:t>
            </w:r>
            <w:r/>
          </w:p>
        </w:tc>
        <w:tc>
          <w:tcPr>
            <w:tcW w:w="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r>
            <w:r/>
          </w:p>
        </w:tc>
        <w:tc>
          <w:tcPr>
            <w:tcW w:w="6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99" w:type="dxa"/>
            <w:vAlign w:val="center"/>
            <w:vMerge w:val="restart"/>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拟投入的人员不得低于采购文件中对应分包要求的最低人员数量，人员工资不得低于南京市</w:t>
            </w:r>
            <w:r>
              <w:rPr>
                <w:rFonts w:hint="eastAsia" w:ascii="宋体" w:hAnsi="宋体" w:cs="宋体"/>
                <w:b w:val="0"/>
                <w:bCs w:val="0"/>
                <w:i w:val="0"/>
                <w:iCs w:val="0"/>
                <w:color w:val="ff0000"/>
                <w:sz w:val="21"/>
                <w:szCs w:val="21"/>
                <w:highlight w:val="none"/>
                <w:u w:val="none"/>
                <w:lang w:val="en-US" w:eastAsia="zh-CN" w:bidi="ar"/>
              </w:rPr>
              <w:t xml:space="preserve">（2026年）</w:t>
            </w:r>
            <w:r>
              <w:rPr>
                <w:rFonts w:hint="eastAsia" w:ascii="宋体" w:hAnsi="宋体" w:eastAsia="宋体" w:cs="宋体"/>
                <w:b w:val="0"/>
                <w:bCs w:val="0"/>
                <w:i w:val="0"/>
                <w:iCs w:val="0"/>
                <w:color w:val="000000"/>
                <w:sz w:val="21"/>
                <w:szCs w:val="21"/>
                <w:highlight w:val="none"/>
                <w:u w:val="none"/>
                <w:lang w:val="en-US" w:eastAsia="zh-CN" w:bidi="ar"/>
              </w:rPr>
              <w:t xml:space="preserve">最低工资标准</w:t>
            </w:r>
            <w:r>
              <w:rPr>
                <w:rFonts w:hint="eastAsia" w:ascii="宋体" w:hAnsi="宋体" w:cs="宋体"/>
                <w:b w:val="0"/>
                <w:bCs w:val="0"/>
                <w:i w:val="0"/>
                <w:iCs w:val="0"/>
                <w:color w:val="ff0000"/>
                <w:sz w:val="21"/>
                <w:szCs w:val="21"/>
                <w:highlight w:val="none"/>
                <w:u w:val="none"/>
                <w:lang w:val="en-US" w:eastAsia="zh-CN" w:bidi="ar"/>
              </w:rPr>
              <w:t xml:space="preserve">2660</w:t>
            </w:r>
            <w:r>
              <w:rPr>
                <w:rFonts w:hint="eastAsia" w:ascii="宋体" w:hAnsi="宋体" w:eastAsia="宋体" w:cs="宋体"/>
                <w:b w:val="0"/>
                <w:bCs w:val="0"/>
                <w:i w:val="0"/>
                <w:iCs w:val="0"/>
                <w:color w:val="ff0000"/>
                <w:sz w:val="21"/>
                <w:szCs w:val="21"/>
                <w:highlight w:val="none"/>
                <w:u w:val="none"/>
                <w:lang w:val="en-US" w:eastAsia="zh-CN" w:bidi="ar"/>
              </w:rPr>
              <w:t xml:space="preserve">元</w:t>
            </w:r>
            <w:r>
              <w:rPr>
                <w:rFonts w:hint="eastAsia" w:ascii="宋体" w:hAnsi="宋体" w:eastAsia="宋体" w:cs="宋体"/>
                <w:b w:val="0"/>
                <w:bCs w:val="0"/>
                <w:i w:val="0"/>
                <w:iCs w:val="0"/>
                <w:color w:val="000000"/>
                <w:sz w:val="21"/>
                <w:szCs w:val="21"/>
                <w:highlight w:val="none"/>
                <w:u w:val="none"/>
                <w:lang w:val="en-US" w:eastAsia="zh-CN" w:bidi="ar"/>
              </w:rPr>
              <w:t xml:space="preserve">，供应商须在《磋商报价明细表》中按照采购需求中物业服务人员岗位分别填报员工工资，否则做无效响应处理。</w:t>
            </w:r>
            <w:r/>
          </w:p>
          <w:p>
            <w:pPr>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871" w:type="dxa"/>
            <w:vAlign w:val="center"/>
            <w:textDirection w:val="lrTb"/>
            <w:noWrap w:val="false"/>
          </w:tcPr>
          <w:p>
            <w:pPr>
              <w:jc w:val="center"/>
              <w:widowControl w:val="off"/>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bidi="ar-SA"/>
              </w:rPr>
              <w:t xml:space="preserve">项目经理</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871" w:type="dxa"/>
            <w:vAlign w:val="center"/>
            <w:textDirection w:val="lrTb"/>
            <w:noWrap w:val="false"/>
          </w:tcPr>
          <w:p>
            <w:pPr>
              <w:jc w:val="center"/>
              <w:widowControl w:val="off"/>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客户服务</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871" w:type="dxa"/>
            <w:vAlign w:val="center"/>
            <w:textDirection w:val="lrTb"/>
            <w:noWrap w:val="false"/>
          </w:tcPr>
          <w:p>
            <w:pPr>
              <w:jc w:val="center"/>
              <w:widowControl w:val="off"/>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保洁主管</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871" w:type="dxa"/>
            <w:vAlign w:val="center"/>
            <w:textDirection w:val="lrTb"/>
            <w:noWrap w:val="false"/>
          </w:tcPr>
          <w:p>
            <w:pPr>
              <w:jc w:val="center"/>
              <w:widowControl w:val="off"/>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保洁员</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871" w:type="dxa"/>
            <w:vAlign w:val="center"/>
            <w:textDirection w:val="lrTb"/>
            <w:noWrap w:val="false"/>
          </w:tcPr>
          <w:p>
            <w:pPr>
              <w:jc w:val="center"/>
              <w:widowControl w:val="off"/>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绿化养护员</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W w:w="871" w:type="dxa"/>
            <w:vAlign w:val="center"/>
            <w:textDirection w:val="lrTb"/>
            <w:noWrap w:val="false"/>
          </w:tcPr>
          <w:p>
            <w:pPr>
              <w:jc w:val="center"/>
              <w:widowControl w:val="off"/>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安保主管</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W w:w="871" w:type="dxa"/>
            <w:vAlign w:val="center"/>
            <w:textDirection w:val="lrTb"/>
            <w:noWrap w:val="false"/>
          </w:tcPr>
          <w:p>
            <w:pPr>
              <w:jc w:val="center"/>
              <w:widowControl w:val="off"/>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秩序维护员</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W w:w="871" w:type="dxa"/>
            <w:vAlign w:val="center"/>
            <w:textDirection w:val="lrTb"/>
            <w:noWrap w:val="false"/>
          </w:tcPr>
          <w:p>
            <w:pPr>
              <w:jc w:val="center"/>
              <w:widowControl w:val="off"/>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color w:val="000000"/>
                <w:sz w:val="21"/>
                <w:szCs w:val="21"/>
                <w:highlight w:val="none"/>
                <w:lang w:val="en-US" w:eastAsia="zh-CN" w:bidi="ar-SA"/>
              </w:rPr>
              <w:t xml:space="preserve">消防监控员</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W w:w="871" w:type="dxa"/>
            <w:vAlign w:val="center"/>
            <w:textDirection w:val="lrTb"/>
            <w:noWrap w:val="false"/>
          </w:tcPr>
          <w:p>
            <w:pPr>
              <w:jc w:val="center"/>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维修主管</w:t>
            </w:r>
            <w:r/>
          </w:p>
        </w:tc>
        <w:tc>
          <w:tcPr>
            <w:tcW w:w="408" w:type="dxa"/>
            <w:vAlign w:val="center"/>
            <w:textDirection w:val="lrTb"/>
            <w:noWrap w:val="false"/>
          </w:tcPr>
          <w:p>
            <w:pPr>
              <w:jc w:val="center"/>
              <w:widowControl w:val="off"/>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W w:w="871" w:type="dxa"/>
            <w:vAlign w:val="center"/>
            <w:textDirection w:val="lrTb"/>
            <w:noWrap w:val="false"/>
          </w:tcPr>
          <w:p>
            <w:pPr>
              <w:jc w:val="center"/>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维修工</w:t>
            </w:r>
            <w:r/>
          </w:p>
        </w:tc>
        <w:tc>
          <w:tcPr>
            <w:tcW w:w="408"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社保公积金</w:t>
            </w:r>
            <w:r/>
          </w:p>
        </w:tc>
        <w:tc>
          <w:tcPr>
            <w:tcW w:w="408"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99" w:type="dxa"/>
            <w:vAlign w:val="center"/>
            <w:textDirection w:val="lrTb"/>
            <w:noWrap w:val="false"/>
          </w:tcPr>
          <w:p>
            <w:pPr>
              <w:jc w:val="left"/>
              <w:rPr>
                <w:rFonts w:hint="eastAsia" w:ascii="宋体" w:hAnsi="宋体" w:eastAsia="宋体" w:cs="宋体"/>
                <w:i w:val="0"/>
                <w:iCs w:val="0"/>
                <w:color w:val="000000"/>
                <w:sz w:val="21"/>
                <w:szCs w:val="21"/>
                <w:highlight w:val="none"/>
                <w:u w:val="none"/>
                <w:lang w:val="en-US" w:bidi="ar"/>
              </w:rPr>
            </w:pPr>
            <w:r>
              <w:rPr>
                <w:rFonts w:hint="eastAsia" w:ascii="宋体" w:hAnsi="宋体" w:eastAsia="宋体" w:cs="宋体"/>
                <w:b w:val="0"/>
                <w:bCs w:val="0"/>
                <w:i w:val="0"/>
                <w:iCs w:val="0"/>
                <w:color w:val="000000"/>
                <w:sz w:val="21"/>
                <w:szCs w:val="21"/>
                <w:highlight w:val="none"/>
                <w:u w:val="none"/>
                <w:lang w:val="en-US" w:eastAsia="zh-CN" w:bidi="ar"/>
              </w:rPr>
              <w:t xml:space="preserve">如供应商拟投入本项目的服务人员中有依法享受社保、住房公积金等缴纳减免政策的，该表后须附说明材料，未提供说明材料或说明材料内容不符合政策规定的将被视为未实质性响应磋商文件。成交结果发布后签订合同前成交供应商向采购人提供符合减免政策的证明材料，无法提供或证明材料与该表后所附说明不符的将被视为虚假响应，取消成交资格。</w:t>
            </w:r>
            <w:bookmarkStart w:id="188" w:name="OLE_LINK4"/>
            <w:r>
              <w:rPr>
                <w:rFonts w:hint="eastAsia" w:ascii="宋体" w:hAnsi="宋体" w:eastAsia="宋体" w:cs="宋体"/>
                <w:b w:val="0"/>
                <w:bCs w:val="0"/>
                <w:i w:val="0"/>
                <w:iCs w:val="0"/>
                <w:color w:val="000000"/>
                <w:sz w:val="21"/>
                <w:szCs w:val="21"/>
                <w:highlight w:val="none"/>
                <w:u w:val="none"/>
                <w:lang w:val="en-US" w:eastAsia="zh-CN" w:bidi="ar"/>
              </w:rPr>
              <w:t xml:space="preserve">缴纳社保人数不低于总人数的</w:t>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0%</w:t>
            </w:r>
            <w:bookmarkEnd w:id="188"/>
            <w:r>
              <w:rPr>
                <w:rFonts w:hint="eastAsia" w:ascii="宋体" w:hAnsi="宋体" w:eastAsia="宋体" w:cs="宋体"/>
                <w:b w:val="0"/>
                <w:bCs w:val="0"/>
                <w:i w:val="0"/>
                <w:iCs w:val="0"/>
                <w:color w:val="000000"/>
                <w:sz w:val="21"/>
                <w:szCs w:val="21"/>
                <w:highlight w:val="none"/>
                <w:u w:val="none"/>
                <w:lang w:val="en-US" w:eastAsia="zh-CN" w:bidi="ar"/>
              </w:rPr>
              <w:t xml:space="preserve">。</w:t>
            </w:r>
            <w:r/>
          </w:p>
        </w:tc>
      </w:tr>
      <w:tr>
        <w:trPr>
          <w:trHeight w:val="90"/>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社会保险</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社保费用不得低于南京市最低标准，否则作无效响应处理。</w:t>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公积金</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公积金不得低于南京市最低标准，且最低工资</w:t>
            </w:r>
            <w:r>
              <w:rPr>
                <w:rFonts w:hint="eastAsia" w:ascii="宋体" w:hAnsi="宋体" w:eastAsia="宋体" w:cs="宋体"/>
                <w:b w:val="0"/>
                <w:bCs w:val="0"/>
                <w:i w:val="0"/>
                <w:iCs w:val="0"/>
                <w:color w:val="000000"/>
                <w:sz w:val="21"/>
                <w:szCs w:val="21"/>
                <w:highlight w:val="none"/>
                <w:u w:val="none"/>
                <w:lang w:val="en-US" w:eastAsia="zh-CN" w:bidi="ar"/>
              </w:rPr>
              <w:t xml:space="preserve">不包含劳动者按下限缴存的住房公积金，由用人单位按规定另行支付，</w:t>
            </w:r>
            <w:r>
              <w:rPr>
                <w:rFonts w:hint="eastAsia" w:ascii="宋体" w:hAnsi="宋体" w:eastAsia="宋体" w:cs="宋体"/>
                <w:i w:val="0"/>
                <w:iCs w:val="0"/>
                <w:color w:val="000000"/>
                <w:sz w:val="21"/>
                <w:szCs w:val="21"/>
                <w:highlight w:val="none"/>
                <w:u w:val="none"/>
                <w:lang w:val="en-US" w:eastAsia="zh-CN" w:bidi="ar"/>
              </w:rPr>
              <w:t xml:space="preserve">否则作无效响应处理。</w:t>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法定节假日工资</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法定节假日安排劳动者工作的，支付不低于正常工资的百分之三百的工资报酬。本项目要求</w:t>
            </w:r>
            <w:bookmarkStart w:id="189" w:name="OLE_LINK7"/>
            <w:r>
              <w:rPr>
                <w:rFonts w:hint="eastAsia" w:ascii="宋体" w:hAnsi="宋体" w:eastAsia="宋体" w:cs="宋体"/>
                <w:i w:val="0"/>
                <w:iCs w:val="0"/>
                <w:color w:val="000000"/>
                <w:sz w:val="21"/>
                <w:szCs w:val="21"/>
                <w:highlight w:val="none"/>
                <w:u w:val="none"/>
                <w:lang w:val="en-US" w:eastAsia="zh-CN" w:bidi="ar"/>
              </w:rPr>
              <w:t xml:space="preserve">法定节假日在岗人数至少满足投入总人数的</w:t>
            </w:r>
            <w:r>
              <w:rPr>
                <w:rFonts w:hint="eastAsia" w:ascii="宋体" w:hAnsi="宋体" w:eastAsia="宋体" w:cs="宋体"/>
                <w:b w:val="0"/>
                <w:bCs w:val="0"/>
                <w:i w:val="0"/>
                <w:iCs w:val="0"/>
                <w:color w:val="000000"/>
                <w:sz w:val="21"/>
                <w:szCs w:val="21"/>
                <w:highlight w:val="none"/>
                <w:u w:val="none"/>
                <w:lang w:val="en-US" w:eastAsia="zh-CN" w:bidi="ar"/>
              </w:rPr>
              <w:t xml:space="preserve">50%</w:t>
            </w:r>
            <w:bookmarkEnd w:id="189"/>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报价中的法定节假日人员加班费不得低于上述要求，否则做无效响应处理。</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参考计算公式：人员工资÷21.75天（平均月计薪天数）×3×人数×11天</w:t>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其他待遇费用</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人员福利</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0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国家强制性要求缴纳的或员工必须享有的福利待遇。</w:t>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行政办公费</w:t>
            </w:r>
            <w:r/>
          </w:p>
        </w:tc>
        <w:tc>
          <w:tcPr>
            <w:tcW w:w="408"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办公用品费</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培训费</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交通费</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通讯费</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W w:w="8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服装费</w:t>
            </w:r>
            <w:r/>
          </w:p>
        </w:tc>
        <w:tc>
          <w:tcPr>
            <w:tcW w:w="40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2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99" w:type="dxa"/>
            <w:vAlign w:val="center"/>
            <w:textDirection w:val="lrTb"/>
            <w:noWrap/>
          </w:tcPr>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6</w:t>
            </w:r>
            <w:r/>
          </w:p>
        </w:tc>
        <w:tc>
          <w:tcPr>
            <w:tcW w:w="871" w:type="dxa"/>
            <w:vAlign w:val="center"/>
            <w:textDirection w:val="lrTb"/>
            <w:noWrap w:val="false"/>
          </w:tcPr>
          <w:p>
            <w:pPr>
              <w:jc w:val="center"/>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工具耗材及物资装备折旧费</w:t>
            </w:r>
            <w:r/>
          </w:p>
        </w:tc>
        <w:tc>
          <w:tcPr>
            <w:tcW w:w="408" w:type="dxa"/>
            <w:vAlign w:val="center"/>
            <w:textDirection w:val="lrTb"/>
            <w:noWrap w:val="false"/>
          </w:tcPr>
          <w:p>
            <w:pPr>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tcW w:w="621" w:type="dxa"/>
            <w:vAlign w:val="center"/>
            <w:textDirection w:val="lrTb"/>
            <w:noWrap w:val="false"/>
          </w:tcPr>
          <w:p>
            <w:pPr>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tcW w:w="617" w:type="dxa"/>
            <w:vAlign w:val="center"/>
            <w:textDirection w:val="lrTb"/>
            <w:noWrap w:val="false"/>
          </w:tcPr>
          <w:p>
            <w:pPr>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tcW w:w="2099" w:type="dxa"/>
            <w:vAlign w:val="center"/>
            <w:textDirection w:val="lrTb"/>
            <w:noWrap/>
          </w:tcPr>
          <w:p>
            <w:pPr>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69"/>
        </w:trPr>
        <w:tc>
          <w:tcPr>
            <w:tcW w:w="380"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p>
        </w:tc>
        <w:tc>
          <w:tcPr>
            <w:tcW w:w="87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清洁耗材费</w:t>
            </w:r>
            <w:r/>
          </w:p>
        </w:tc>
        <w:tc>
          <w:tcPr>
            <w:tcW w:w="408"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21"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17"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tcPr>
          <w:p>
            <w:pPr>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投标人应将服务过程中所有使用的耗材（包括但不限于：扫把、地推、垃圾袋、抽纸、洗手液、厕所卷纸、消毒液、洁厕灵等）费用考虑到投标报价中，以往</w:t>
            </w:r>
            <w:r>
              <w:rPr>
                <w:rFonts w:hint="eastAsia" w:ascii="宋体" w:hAnsi="宋体" w:eastAsia="宋体" w:cs="宋体"/>
                <w:color w:val="000000"/>
                <w:sz w:val="21"/>
                <w:szCs w:val="21"/>
                <w:highlight w:val="none"/>
                <w:lang w:val="en-US" w:eastAsia="zh-CN"/>
              </w:rPr>
              <w:t xml:space="preserve">各分包</w:t>
            </w:r>
            <w:r>
              <w:rPr>
                <w:rFonts w:hint="eastAsia" w:ascii="宋体" w:hAnsi="宋体" w:eastAsia="宋体" w:cs="宋体"/>
                <w:color w:val="000000"/>
                <w:sz w:val="21"/>
                <w:szCs w:val="21"/>
                <w:highlight w:val="none"/>
              </w:rPr>
              <w:t xml:space="preserve">每年约</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万元。供应商投标报价时，应充分考虑该因素，合理报价。供应商一旦中标，将按照供应商报价执行，不予调整。</w:t>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管理费</w:t>
            </w:r>
            <w:r/>
          </w:p>
        </w:tc>
        <w:tc>
          <w:tcPr>
            <w:tcW w:w="408"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21"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17" w:type="dxa"/>
            <w:vAlign w:val="center"/>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99"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8</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利润</w:t>
            </w:r>
            <w:r/>
          </w:p>
        </w:tc>
        <w:tc>
          <w:tcPr>
            <w:tcW w:w="408" w:type="dxa"/>
            <w:vAlign w:val="center"/>
            <w:textDirection w:val="lrTb"/>
            <w:noWrap w:val="false"/>
          </w:tcPr>
          <w:p>
            <w:pPr>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621" w:type="dxa"/>
            <w:vAlign w:val="center"/>
            <w:textDirection w:val="lrTb"/>
            <w:noWrap w:val="false"/>
          </w:tcPr>
          <w:p>
            <w:pPr>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099" w:type="dxa"/>
            <w:vAlign w:val="center"/>
            <w:textDirection w:val="lrTb"/>
            <w:noWrap w:val="false"/>
          </w:tcPr>
          <w:p>
            <w:pPr>
              <w:jc w:val="left"/>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法定税费</w:t>
            </w:r>
            <w:r/>
          </w:p>
        </w:tc>
        <w:tc>
          <w:tcPr>
            <w:tcW w:w="408" w:type="dxa"/>
            <w:vAlign w:val="center"/>
            <w:textDirection w:val="lrTb"/>
            <w:noWrap w:val="false"/>
          </w:tcPr>
          <w:p>
            <w:pPr>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621" w:type="dxa"/>
            <w:vAlign w:val="center"/>
            <w:textDirection w:val="lrTb"/>
            <w:noWrap w:val="false"/>
          </w:tcPr>
          <w:p>
            <w:pPr>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099" w:type="dxa"/>
            <w:vAlign w:val="center"/>
            <w:textDirection w:val="lrTb"/>
            <w:noWrap w:val="false"/>
          </w:tcPr>
          <w:p>
            <w:pPr>
              <w:jc w:val="left"/>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t xml:space="preserve">供应商应依法缴纳税费，如享受税费优惠政策的，须在《磋商报价明细表》后附证明材料，否则作无效响应处理。</w:t>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w:t>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其他费用</w:t>
            </w:r>
            <w:r/>
          </w:p>
        </w:tc>
        <w:tc>
          <w:tcPr>
            <w:tcW w:w="408" w:type="dxa"/>
            <w:vAlign w:val="center"/>
            <w:textDirection w:val="lrTb"/>
            <w:noWrap/>
          </w:tcPr>
          <w:p>
            <w:pPr>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621" w:type="dxa"/>
            <w:vAlign w:val="center"/>
            <w:textDirection w:val="lrTb"/>
            <w:noWrap/>
          </w:tcPr>
          <w:p>
            <w:pPr>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6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099" w:type="dxa"/>
            <w:vAlign w:val="center"/>
            <w:textDirection w:val="lrTb"/>
            <w:noWrap/>
          </w:tcPr>
          <w:p>
            <w:pPr>
              <w:jc w:val="left"/>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t xml:space="preserve">供应商认为可能发生的其他费用。</w:t>
            </w:r>
            <w:r/>
          </w:p>
        </w:tc>
      </w:tr>
      <w:tr>
        <w:trPr>
          <w:trHeight w:val="369"/>
        </w:trPr>
        <w:tc>
          <w:tcPr>
            <w:tcW w:w="3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SA"/>
              </w:rPr>
            </w:r>
            <w:r/>
          </w:p>
        </w:tc>
        <w:tc>
          <w:tcPr>
            <w:tcW w:w="8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报价合计（元）</w:t>
            </w:r>
            <w:r/>
          </w:p>
        </w:tc>
        <w:tc>
          <w:tcPr>
            <w:tcW w:w="408" w:type="dxa"/>
            <w:vAlign w:val="center"/>
            <w:textDirection w:val="lrTb"/>
            <w:noWrap/>
          </w:tcPr>
          <w:p>
            <w:pPr>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621" w:type="dxa"/>
            <w:vAlign w:val="center"/>
            <w:textDirection w:val="lrTb"/>
            <w:noWrap/>
          </w:tcPr>
          <w:p>
            <w:pPr>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6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2099" w:type="dxa"/>
            <w:vAlign w:val="center"/>
            <w:textDirection w:val="lrTb"/>
            <w:noWrap/>
          </w:tcPr>
          <w:p>
            <w:pPr>
              <w:jc w:val="left"/>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733"/>
        </w:trPr>
        <w:tc>
          <w:tcPr>
            <w:gridSpan w:val="6"/>
            <w:tcW w:w="9756" w:type="dxa"/>
            <w:vAlign w:val="center"/>
            <w:textDirection w:val="lrTb"/>
            <w:noWrap w:val="false"/>
          </w:tcPr>
          <w:p>
            <w:pPr>
              <w:jc w:val="left"/>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rPr>
              <w:t xml:space="preserve">注：（1）此表为样表，行数可自行添加，但表式不变。</w:t>
            </w:r>
            <w:r>
              <w:rPr>
                <w:rFonts w:hint="eastAsia" w:ascii="宋体" w:hAnsi="宋体" w:eastAsia="宋体" w:cs="宋体"/>
                <w:b/>
                <w:bCs/>
                <w:i w:val="0"/>
                <w:iCs w:val="0"/>
                <w:color w:val="000000"/>
                <w:sz w:val="21"/>
                <w:szCs w:val="21"/>
                <w:highlight w:val="none"/>
                <w:u w:val="none"/>
                <w:lang w:val="en-US" w:eastAsia="zh-CN"/>
              </w:rPr>
              <w:t xml:space="preserve">如有</w:t>
            </w:r>
            <w:r>
              <w:rPr>
                <w:rFonts w:hint="eastAsia" w:ascii="宋体" w:hAnsi="宋体" w:eastAsia="宋体" w:cs="宋体"/>
                <w:b/>
                <w:bCs/>
                <w:i w:val="0"/>
                <w:iCs w:val="0"/>
                <w:color w:val="000000"/>
                <w:sz w:val="21"/>
                <w:szCs w:val="21"/>
                <w:highlight w:val="none"/>
                <w:u w:val="none"/>
              </w:rPr>
              <w:t xml:space="preserve">其他费用</w:t>
            </w:r>
            <w:r>
              <w:rPr>
                <w:rFonts w:hint="eastAsia" w:ascii="宋体" w:hAnsi="宋体" w:eastAsia="宋体" w:cs="宋体"/>
                <w:b/>
                <w:bCs/>
                <w:i w:val="0"/>
                <w:iCs w:val="0"/>
                <w:color w:val="000000"/>
                <w:sz w:val="21"/>
                <w:szCs w:val="21"/>
                <w:highlight w:val="none"/>
                <w:u w:val="none"/>
                <w:lang w:eastAsia="zh-CN"/>
              </w:rPr>
              <w:t xml:space="preserve">，供应商</w:t>
            </w:r>
            <w:r>
              <w:rPr>
                <w:rFonts w:hint="eastAsia" w:ascii="宋体" w:hAnsi="宋体" w:eastAsia="宋体" w:cs="宋体"/>
                <w:b/>
                <w:bCs/>
                <w:i w:val="0"/>
                <w:iCs w:val="0"/>
                <w:color w:val="000000"/>
                <w:sz w:val="21"/>
                <w:szCs w:val="21"/>
                <w:highlight w:val="none"/>
                <w:u w:val="none"/>
              </w:rPr>
              <w:t xml:space="preserve">自行计算填列。（</w:t>
            </w:r>
            <w:r>
              <w:rPr>
                <w:rFonts w:hint="eastAsia" w:ascii="宋体" w:hAnsi="宋体" w:eastAsia="宋体" w:cs="宋体"/>
                <w:b/>
                <w:bCs/>
                <w:i w:val="0"/>
                <w:iCs w:val="0"/>
                <w:color w:val="000000"/>
                <w:sz w:val="21"/>
                <w:szCs w:val="21"/>
                <w:highlight w:val="none"/>
                <w:u w:val="none"/>
                <w:lang w:val="en-US" w:eastAsia="zh-CN"/>
              </w:rPr>
              <w:t xml:space="preserve">2</w:t>
            </w:r>
            <w:r>
              <w:rPr>
                <w:rFonts w:hint="eastAsia" w:ascii="宋体" w:hAnsi="宋体" w:eastAsia="宋体" w:cs="宋体"/>
                <w:b/>
                <w:bCs/>
                <w:i w:val="0"/>
                <w:iCs w:val="0"/>
                <w:color w:val="000000"/>
                <w:sz w:val="21"/>
                <w:szCs w:val="21"/>
                <w:highlight w:val="none"/>
                <w:u w:val="none"/>
              </w:rPr>
              <w:t xml:space="preserve">）报价中的各分项报价均不得为“零”</w:t>
            </w:r>
            <w:r>
              <w:rPr>
                <w:rFonts w:hint="eastAsia" w:ascii="宋体" w:hAnsi="宋体" w:eastAsia="宋体" w:cs="宋体"/>
                <w:b/>
                <w:bCs/>
                <w:i w:val="0"/>
                <w:iCs w:val="0"/>
                <w:color w:val="000000"/>
                <w:sz w:val="21"/>
                <w:szCs w:val="21"/>
                <w:highlight w:val="none"/>
                <w:u w:val="none"/>
                <w:lang w:val="en-US" w:eastAsia="zh-CN"/>
              </w:rPr>
              <w:t xml:space="preserve">或负数</w:t>
            </w:r>
            <w:r>
              <w:rPr>
                <w:rFonts w:hint="eastAsia" w:ascii="宋体" w:hAnsi="宋体" w:eastAsia="宋体" w:cs="宋体"/>
                <w:b/>
                <w:bCs/>
                <w:color w:val="000000"/>
                <w:sz w:val="21"/>
                <w:szCs w:val="21"/>
                <w:highlight w:val="none"/>
                <w:u w:val="none"/>
                <w:lang w:eastAsia="zh-CN"/>
              </w:rPr>
              <w:t xml:space="preserve">（</w:t>
            </w:r>
            <w:r>
              <w:rPr>
                <w:rFonts w:hint="eastAsia" w:ascii="宋体" w:hAnsi="宋体" w:eastAsia="宋体" w:cs="宋体"/>
                <w:b/>
                <w:bCs/>
                <w:color w:val="000000"/>
                <w:sz w:val="21"/>
                <w:szCs w:val="21"/>
                <w:highlight w:val="none"/>
                <w:u w:val="none"/>
                <w:lang w:val="en-US" w:eastAsia="zh-CN"/>
              </w:rPr>
              <w:t xml:space="preserve">其他费用可以为</w:t>
            </w:r>
            <w:r>
              <w:rPr>
                <w:rFonts w:hint="eastAsia" w:ascii="宋体" w:hAnsi="宋体" w:eastAsia="宋体" w:cs="宋体"/>
                <w:b/>
                <w:bCs/>
                <w:color w:val="000000"/>
                <w:sz w:val="21"/>
                <w:szCs w:val="21"/>
                <w:highlight w:val="none"/>
                <w:u w:val="none"/>
              </w:rPr>
              <w:t xml:space="preserve">“零”</w:t>
            </w:r>
            <w:r>
              <w:rPr>
                <w:rFonts w:hint="eastAsia" w:ascii="宋体" w:hAnsi="宋体" w:eastAsia="宋体" w:cs="宋体"/>
                <w:b/>
                <w:bCs/>
                <w:color w:val="000000"/>
                <w:sz w:val="21"/>
                <w:szCs w:val="21"/>
                <w:highlight w:val="none"/>
                <w:u w:val="none"/>
                <w:lang w:val="en-US" w:eastAsia="zh-CN"/>
              </w:rPr>
              <w:t xml:space="preserve">但不得为负数</w:t>
            </w:r>
            <w:r>
              <w:rPr>
                <w:rFonts w:hint="eastAsia" w:ascii="宋体" w:hAnsi="宋体" w:eastAsia="宋体" w:cs="宋体"/>
                <w:b/>
                <w:bCs/>
                <w:color w:val="000000"/>
                <w:sz w:val="21"/>
                <w:szCs w:val="21"/>
                <w:highlight w:val="none"/>
                <w:u w:val="none"/>
                <w:lang w:eastAsia="zh-CN"/>
              </w:rPr>
              <w:t xml:space="preserve">）</w:t>
            </w:r>
            <w:r>
              <w:rPr>
                <w:rFonts w:hint="eastAsia" w:ascii="宋体" w:hAnsi="宋体" w:eastAsia="宋体" w:cs="宋体"/>
                <w:b/>
                <w:bCs/>
                <w:i w:val="0"/>
                <w:iCs w:val="0"/>
                <w:color w:val="000000"/>
                <w:sz w:val="21"/>
                <w:szCs w:val="21"/>
                <w:highlight w:val="none"/>
                <w:u w:val="none"/>
              </w:rPr>
              <w:t xml:space="preserve">，否则</w:t>
            </w:r>
            <w:r>
              <w:rPr>
                <w:rFonts w:hint="eastAsia" w:ascii="宋体" w:hAnsi="宋体" w:eastAsia="宋体" w:cs="宋体"/>
                <w:b/>
                <w:bCs/>
                <w:i w:val="0"/>
                <w:iCs w:val="0"/>
                <w:color w:val="000000"/>
                <w:sz w:val="21"/>
                <w:szCs w:val="21"/>
                <w:highlight w:val="none"/>
                <w:u w:val="none"/>
                <w:lang w:eastAsia="zh-CN"/>
              </w:rPr>
              <w:t xml:space="preserve">作无效响应处理</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i w:val="0"/>
                <w:iCs w:val="0"/>
                <w:color w:val="000000"/>
                <w:sz w:val="21"/>
                <w:szCs w:val="21"/>
                <w:highlight w:val="none"/>
                <w:u w:val="none"/>
                <w:lang w:eastAsia="zh-CN"/>
              </w:rPr>
              <w:t xml:space="preserve">（</w:t>
            </w:r>
            <w:r>
              <w:rPr>
                <w:rFonts w:hint="eastAsia" w:ascii="宋体" w:hAnsi="宋体" w:eastAsia="宋体" w:cs="宋体"/>
                <w:b/>
                <w:bCs/>
                <w:i w:val="0"/>
                <w:iCs w:val="0"/>
                <w:color w:val="000000"/>
                <w:sz w:val="21"/>
                <w:szCs w:val="21"/>
                <w:highlight w:val="none"/>
                <w:u w:val="none"/>
                <w:lang w:val="en-US" w:eastAsia="zh-CN"/>
              </w:rPr>
              <w:t xml:space="preserve">3</w:t>
            </w:r>
            <w:r>
              <w:rPr>
                <w:rFonts w:hint="eastAsia" w:ascii="宋体" w:hAnsi="宋体" w:eastAsia="宋体" w:cs="宋体"/>
                <w:b/>
                <w:bCs/>
                <w:i w:val="0"/>
                <w:iCs w:val="0"/>
                <w:color w:val="000000"/>
                <w:sz w:val="21"/>
                <w:szCs w:val="21"/>
                <w:highlight w:val="none"/>
                <w:u w:val="none"/>
                <w:lang w:eastAsia="zh-CN"/>
              </w:rPr>
              <w:t xml:space="preserve">）</w:t>
            </w:r>
            <w:r>
              <w:rPr>
                <w:rFonts w:hint="eastAsia" w:ascii="宋体" w:hAnsi="宋体" w:eastAsia="宋体" w:cs="宋体"/>
                <w:b/>
                <w:bCs/>
                <w:i w:val="0"/>
                <w:iCs w:val="0"/>
                <w:color w:val="000000"/>
                <w:sz w:val="21"/>
                <w:szCs w:val="21"/>
                <w:highlight w:val="none"/>
                <w:u w:val="none"/>
              </w:rPr>
              <w:t xml:space="preserve">服务时间不足一年的，按照</w:t>
            </w:r>
            <w:r>
              <w:rPr>
                <w:rFonts w:hint="eastAsia" w:ascii="宋体" w:hAnsi="宋体" w:eastAsia="宋体" w:cs="宋体"/>
                <w:b/>
                <w:bCs/>
                <w:i w:val="0"/>
                <w:iCs w:val="0"/>
                <w:color w:val="000000"/>
                <w:sz w:val="21"/>
                <w:szCs w:val="21"/>
                <w:highlight w:val="none"/>
                <w:u w:val="none"/>
                <w:lang w:val="en-US" w:eastAsia="zh-CN"/>
              </w:rPr>
              <w:t xml:space="preserve">采购文件规定</w:t>
            </w:r>
            <w:r>
              <w:rPr>
                <w:rFonts w:hint="eastAsia" w:ascii="宋体" w:hAnsi="宋体" w:eastAsia="宋体" w:cs="宋体"/>
                <w:b/>
                <w:bCs/>
                <w:i w:val="0"/>
                <w:iCs w:val="0"/>
                <w:color w:val="000000"/>
                <w:sz w:val="21"/>
                <w:szCs w:val="21"/>
                <w:highlight w:val="none"/>
                <w:u w:val="none"/>
              </w:rPr>
              <w:t xml:space="preserve">服务时间测算。</w:t>
            </w:r>
            <w:r/>
          </w:p>
        </w:tc>
      </w:tr>
    </w:tbl>
    <w:p>
      <w:pPr>
        <w:pStyle w:val="730"/>
        <w:ind w:left="0" w:firstLine="0"/>
        <w:rPr>
          <w:rFonts w:hint="eastAsia" w:ascii="方正小标宋_GBK" w:hAnsi="方正小标宋_GBK" w:eastAsia="方正小标宋_GBK" w:cs="方正小标宋_GBK"/>
          <w:color w:val="000000"/>
          <w:sz w:val="30"/>
          <w:szCs w:val="30"/>
          <w:highlight w:val="none"/>
          <w:lang w:val="en-US" w:eastAsia="zh-CN"/>
        </w:rPr>
      </w:pPr>
      <w:r>
        <w:rPr>
          <w:rFonts w:hint="eastAsia" w:ascii="方正小标宋_GBK" w:hAnsi="方正小标宋_GBK" w:eastAsia="方正小标宋_GBK" w:cs="方正小标宋_GBK"/>
          <w:color w:val="000000"/>
          <w:sz w:val="30"/>
          <w:szCs w:val="30"/>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p>
    <w:p>
      <w:pPr>
        <w:numPr>
          <w:ilvl w:val="0"/>
          <w:numId w:val="0"/>
        </w:numPr>
        <w:ind w:firstLine="420"/>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依据《省人力资源社会保障厅关于调整全省最低工资标准的通知》(苏人社规〔2023〕4 号)、《省人力资源社会保障厅 省财政厅 省医疗保障局 省税务局关于发布2024年度社会保险有关基数的通知》（苏人社发〔2024〕38号）等文件，下表为目前南京市最低工资标准、社会保险、住房公积金的相关规定，作为测算报价和分析报价合理性的参考。法律法规或政策文件有更新或另有规定的，从其规定。</w:t>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表1：最低工资标准、社会保险及公积金（参考）</w:t>
      </w:r>
      <w:r/>
    </w:p>
    <w:tbl>
      <w:tblPr>
        <w:tblStyle w:val="729"/>
        <w:tblpPr w:horzAnchor="page" w:tblpX="1178" w:vertAnchor="text" w:tblpY="338" w:leftFromText="180" w:topFromText="0" w:rightFromText="180" w:bottomFromText="0"/>
        <w:tblW w:w="100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801"/>
        <w:gridCol w:w="4379"/>
        <w:gridCol w:w="1412"/>
        <w:gridCol w:w="1728"/>
      </w:tblGrid>
      <w:tr>
        <w:trPr>
          <w:trHeight w:val="748" w:hRule="exact"/>
        </w:trPr>
        <w:tc>
          <w:tcPr>
            <w:tcW w:w="758"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p>
        </w:tc>
        <w:tc>
          <w:tcPr>
            <w:tcW w:w="1801"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名称</w:t>
            </w:r>
            <w:r/>
          </w:p>
        </w:tc>
        <w:tc>
          <w:tcPr>
            <w:tcW w:w="4379"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计算公式</w:t>
            </w:r>
            <w:r/>
          </w:p>
        </w:tc>
        <w:tc>
          <w:tcPr>
            <w:tcW w:w="1412"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金额（元/月）</w:t>
            </w:r>
            <w:r/>
          </w:p>
        </w:tc>
        <w:tc>
          <w:tcPr>
            <w:tcW w:w="1728"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备注</w:t>
            </w:r>
            <w:r/>
          </w:p>
        </w:tc>
      </w:tr>
      <w:tr>
        <w:trPr>
          <w:trHeight w:val="522" w:hRule="exact"/>
        </w:trPr>
        <w:tc>
          <w:tcPr>
            <w:tcW w:w="758"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w:t>
            </w:r>
            <w:r/>
          </w:p>
        </w:tc>
        <w:tc>
          <w:tcPr>
            <w:tcW w:w="1801"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最低工资标准</w:t>
            </w:r>
            <w:r/>
          </w:p>
        </w:tc>
        <w:tc>
          <w:tcPr>
            <w:tcW w:w="4379"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w:t>
            </w:r>
            <w:r/>
          </w:p>
        </w:tc>
        <w:tc>
          <w:tcPr>
            <w:tcW w:w="1412" w:type="dxa"/>
            <w:vAlign w:val="center"/>
            <w:textDirection w:val="lrTb"/>
            <w:noWrap/>
          </w:tcPr>
          <w:p>
            <w:pPr>
              <w:jc w:val="center"/>
              <w:spacing w:line="240" w:lineRule="auto"/>
              <w:rPr>
                <w:rFonts w:hint="default" w:ascii="宋体" w:hAnsi="宋体" w:eastAsia="宋体" w:cs="宋体"/>
                <w:b/>
                <w:bCs/>
                <w:color w:val="000000"/>
                <w:sz w:val="21"/>
                <w:szCs w:val="21"/>
                <w:highlight w:val="none"/>
                <w:lang w:val="en-US" w:eastAsia="zh-CN"/>
              </w:rPr>
            </w:pPr>
            <w:r>
              <w:rPr>
                <w:rFonts w:hint="eastAsia" w:ascii="宋体" w:hAnsi="宋体" w:cs="宋体"/>
                <w:b/>
                <w:bCs/>
                <w:color w:val="ff0000"/>
                <w:sz w:val="21"/>
                <w:szCs w:val="21"/>
                <w:highlight w:val="none"/>
                <w:lang w:val="en-US" w:eastAsia="zh-CN"/>
              </w:rPr>
              <w:t xml:space="preserve">2660</w:t>
            </w:r>
            <w:r/>
          </w:p>
        </w:tc>
        <w:tc>
          <w:tcPr>
            <w:tcW w:w="1728" w:type="dxa"/>
            <w:vAlign w:val="center"/>
            <w:textDirection w:val="lrTb"/>
            <w:noWrap/>
          </w:tcPr>
          <w:p>
            <w:pPr>
              <w:jc w:val="center"/>
              <w:spacing w:line="24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tc>
      </w:tr>
      <w:tr>
        <w:trPr>
          <w:trHeight w:val="814" w:hRule="exact"/>
        </w:trPr>
        <w:tc>
          <w:tcPr>
            <w:tcW w:w="758"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w:t>
            </w:r>
            <w:r/>
          </w:p>
        </w:tc>
        <w:tc>
          <w:tcPr>
            <w:tcW w:w="1801"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社保单位计提费用</w:t>
            </w:r>
            <w:r/>
          </w:p>
        </w:tc>
        <w:tc>
          <w:tcPr>
            <w:tcW w:w="4379"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缴费基数（≥</w:t>
            </w:r>
            <w:r>
              <w:rPr>
                <w:rFonts w:hint="eastAsia" w:ascii="宋体" w:hAnsi="宋体" w:cs="宋体"/>
                <w:b/>
                <w:bCs/>
                <w:color w:val="ff0000"/>
                <w:sz w:val="21"/>
                <w:szCs w:val="21"/>
                <w:highlight w:val="none"/>
                <w:lang w:val="en-US" w:eastAsia="zh-CN"/>
              </w:rPr>
              <w:t xml:space="preserve">4952</w:t>
            </w:r>
            <w:r>
              <w:rPr>
                <w:rFonts w:hint="eastAsia" w:ascii="宋体" w:hAnsi="宋体" w:cs="宋体"/>
                <w:b/>
                <w:bCs/>
                <w:color w:val="000000"/>
                <w:sz w:val="21"/>
                <w:szCs w:val="21"/>
                <w:highlight w:val="none"/>
              </w:rPr>
              <w:t xml:space="preserve">）*缴费比例（≥24.7%）</w:t>
            </w:r>
            <w:r/>
          </w:p>
        </w:tc>
        <w:tc>
          <w:tcPr>
            <w:tcW w:w="1412"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ff0000"/>
                <w:sz w:val="21"/>
                <w:szCs w:val="21"/>
                <w:highlight w:val="none"/>
              </w:rPr>
              <w:t xml:space="preserve">≥</w:t>
            </w:r>
            <w:r>
              <w:rPr>
                <w:rFonts w:hint="eastAsia" w:ascii="宋体" w:hAnsi="宋体" w:cs="宋体"/>
                <w:b/>
                <w:bCs/>
                <w:color w:val="ff0000"/>
                <w:sz w:val="21"/>
                <w:szCs w:val="21"/>
                <w:highlight w:val="none"/>
                <w:lang w:val="en-US" w:eastAsia="zh-CN"/>
              </w:rPr>
              <w:t xml:space="preserve">1223.144</w:t>
            </w:r>
            <w:r/>
          </w:p>
        </w:tc>
        <w:tc>
          <w:tcPr>
            <w:tcW w:w="1728"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center"/>
              <w:spacing w:line="240" w:lineRule="auto"/>
              <w:rPr>
                <w:rFonts w:ascii="宋体" w:hAnsi="宋体" w:cs="宋体"/>
                <w:b/>
                <w:bCs/>
                <w:color w:val="000000"/>
                <w:sz w:val="21"/>
                <w:szCs w:val="21"/>
                <w:highlight w:val="none"/>
              </w:rPr>
            </w:pPr>
            <w:r>
              <w:rPr>
                <w:rFonts w:hint="eastAsia" w:ascii="宋体" w:hAnsi="宋体" w:eastAsia="宋体" w:cs="宋体"/>
                <w:b/>
                <w:bCs/>
                <w:sz w:val="21"/>
                <w:szCs w:val="21"/>
                <w:vertAlign w:val="baseline"/>
                <w:lang w:val="en-US" w:eastAsia="zh-CN"/>
              </w:rPr>
              <w:t xml:space="preserve">金额≥1223.15</w:t>
            </w:r>
            <w:r/>
          </w:p>
        </w:tc>
      </w:tr>
      <w:tr>
        <w:trPr>
          <w:trHeight w:val="917" w:hRule="exact"/>
        </w:trPr>
        <w:tc>
          <w:tcPr>
            <w:tcW w:w="758"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p>
        </w:tc>
        <w:tc>
          <w:tcPr>
            <w:tcW w:w="1801"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公积金单位计提费用</w:t>
            </w:r>
            <w:r/>
          </w:p>
        </w:tc>
        <w:tc>
          <w:tcPr>
            <w:tcW w:w="4379"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缴存基数（≥2490）*缴存比例（≥5%）</w:t>
            </w:r>
            <w:r/>
          </w:p>
        </w:tc>
        <w:tc>
          <w:tcPr>
            <w:tcW w:w="1412"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≥124.5</w:t>
            </w:r>
            <w:r/>
          </w:p>
        </w:tc>
        <w:tc>
          <w:tcPr>
            <w:tcW w:w="1728" w:type="dxa"/>
            <w:vAlign w:val="center"/>
            <w:textDirection w:val="lrTb"/>
            <w:noWrap/>
          </w:tcPr>
          <w:p>
            <w:pPr>
              <w:jc w:val="center"/>
              <w:spacing w:line="24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tc>
      </w:tr>
      <w:tr>
        <w:trPr>
          <w:trHeight w:val="2194" w:hRule="exact"/>
        </w:trPr>
        <w:tc>
          <w:tcPr>
            <w:tcW w:w="758"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4</w:t>
            </w:r>
            <w:r/>
          </w:p>
        </w:tc>
        <w:tc>
          <w:tcPr>
            <w:tcW w:w="1801"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公积金个人计提费用</w:t>
            </w:r>
            <w:r/>
          </w:p>
        </w:tc>
        <w:tc>
          <w:tcPr>
            <w:tcW w:w="4379"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缴存基数（≥2490）*缴存比例（≥5%）</w:t>
            </w:r>
            <w:r/>
          </w:p>
        </w:tc>
        <w:tc>
          <w:tcPr>
            <w:tcW w:w="1412" w:type="dxa"/>
            <w:vAlign w:val="center"/>
            <w:textDirection w:val="lrTb"/>
            <w:noWrap/>
          </w:tcPr>
          <w:p>
            <w:pPr>
              <w:jc w:val="cente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≥124.5</w:t>
            </w:r>
            <w:r/>
          </w:p>
        </w:tc>
        <w:tc>
          <w:tcPr>
            <w:tcW w:w="1728" w:type="dxa"/>
            <w:vAlign w:val="center"/>
            <w:textDirection w:val="lrTb"/>
            <w:noWrap/>
          </w:tcPr>
          <w:p>
            <w:pPr>
              <w:spacing w:line="24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最低工资不包含劳动者按下限缴存的住房公积金，由用人单位按规定另行支付。</w:t>
            </w:r>
            <w:r/>
          </w:p>
        </w:tc>
      </w:tr>
    </w:tbl>
    <w:p>
      <w:pPr>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numPr>
          <w:ilvl w:val="0"/>
          <w:numId w:val="0"/>
        </w:numPr>
        <w:ind w:firstLine="0"/>
        <w:jc w:val="left"/>
        <w:keepLines w:val="0"/>
        <w:keepNext w:val="0"/>
        <w:pageBreakBefore w:val="0"/>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表2：社会保险最低缴费比例（参考）</w:t>
      </w:r>
      <w:r/>
    </w:p>
    <w:p>
      <w:pPr>
        <w:pStyle w:val="935"/>
        <w:rPr>
          <w:rFonts w:hint="eastAsia"/>
          <w:color w:val="000000"/>
          <w:highlight w:val="none"/>
          <w:lang w:val="en-US" w:eastAsia="zh-CN"/>
        </w:rPr>
      </w:pPr>
      <w:r>
        <w:rPr>
          <w:rFonts w:hint="eastAsia"/>
          <w:color w:val="000000"/>
          <w:highlight w:val="none"/>
          <w:lang w:val="en-US" w:eastAsia="zh-CN"/>
        </w:rPr>
      </w:r>
      <w:r/>
    </w:p>
    <w:tbl>
      <w:tblPr>
        <w:tblStyle w:val="973"/>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W w:w="2595"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险种</w:t>
            </w:r>
            <w:r/>
          </w:p>
        </w:tc>
        <w:tc>
          <w:tcPr>
            <w:tcW w:w="3406"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单位缴纳比例</w:t>
            </w:r>
            <w:r/>
          </w:p>
        </w:tc>
        <w:tc>
          <w:tcPr>
            <w:tcW w:w="3021" w:type="dxa"/>
            <w:vAlign w:val="top"/>
            <w:textDirection w:val="lrTb"/>
            <w:noWrap w:val="false"/>
          </w:tcPr>
          <w:p>
            <w:pPr>
              <w:jc w:val="center"/>
              <w:keepLines w:val="0"/>
              <w:keepNext w:val="0"/>
              <w:spacing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个人缴纳比例及金额</w:t>
            </w:r>
            <w:r/>
          </w:p>
        </w:tc>
      </w:tr>
      <w:tr>
        <w:trPr/>
        <w:tc>
          <w:tcPr>
            <w:tcW w:w="773"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p>
        </w:tc>
        <w:tc>
          <w:tcPr>
            <w:tcW w:w="2595"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eastAsia="zh-CN"/>
              </w:rPr>
              <w:t xml:space="preserve">养老保险</w:t>
            </w:r>
            <w:r/>
          </w:p>
        </w:tc>
        <w:tc>
          <w:tcPr>
            <w:tcW w:w="3406"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w:t>
            </w:r>
            <w:r/>
          </w:p>
        </w:tc>
        <w:tc>
          <w:tcPr>
            <w:tcW w:w="3021"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w:t>
            </w:r>
            <w:r/>
          </w:p>
        </w:tc>
      </w:tr>
      <w:tr>
        <w:trPr/>
        <w:tc>
          <w:tcPr>
            <w:tcW w:w="773"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p>
        </w:tc>
        <w:tc>
          <w:tcPr>
            <w:tcW w:w="2595"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eastAsia="zh-CN"/>
              </w:rPr>
              <w:t xml:space="preserve">医疗保险</w:t>
            </w:r>
            <w:r/>
          </w:p>
        </w:tc>
        <w:tc>
          <w:tcPr>
            <w:tcW w:w="3406"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   </w:t>
            </w:r>
            <w:r/>
          </w:p>
        </w:tc>
        <w:tc>
          <w:tcPr>
            <w:tcW w:w="3021"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w:t>
            </w:r>
            <w:r/>
          </w:p>
        </w:tc>
      </w:tr>
      <w:tr>
        <w:trPr/>
        <w:tc>
          <w:tcPr>
            <w:tcW w:w="773"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w:t>
            </w:r>
            <w:r/>
          </w:p>
        </w:tc>
        <w:tc>
          <w:tcPr>
            <w:tcW w:w="2595"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eastAsia="zh-CN"/>
              </w:rPr>
              <w:t xml:space="preserve">工伤保险</w:t>
            </w:r>
            <w:r/>
          </w:p>
        </w:tc>
        <w:tc>
          <w:tcPr>
            <w:tcW w:w="3406"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0.4%</w:t>
            </w:r>
            <w:r/>
          </w:p>
        </w:tc>
        <w:tc>
          <w:tcPr>
            <w:tcW w:w="3021"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val="en-US" w:eastAsia="zh-CN"/>
              </w:rPr>
              <w:t xml:space="preserve">/</w:t>
            </w:r>
            <w:r/>
          </w:p>
        </w:tc>
      </w:tr>
      <w:tr>
        <w:trPr/>
        <w:tc>
          <w:tcPr>
            <w:tcW w:w="773"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w:t>
            </w:r>
            <w:r/>
          </w:p>
        </w:tc>
        <w:tc>
          <w:tcPr>
            <w:tcW w:w="2595"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eastAsia="zh-CN"/>
              </w:rPr>
              <w:t xml:space="preserve">失业保险</w:t>
            </w:r>
            <w:r/>
          </w:p>
        </w:tc>
        <w:tc>
          <w:tcPr>
            <w:tcW w:w="3406"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val="en-US" w:eastAsia="zh-CN"/>
              </w:rPr>
              <w:t xml:space="preserve">0.5%</w:t>
            </w:r>
            <w:r/>
          </w:p>
        </w:tc>
        <w:tc>
          <w:tcPr>
            <w:tcW w:w="3021"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0.5%</w:t>
            </w:r>
            <w:r/>
          </w:p>
        </w:tc>
      </w:tr>
      <w:tr>
        <w:trPr/>
        <w:tc>
          <w:tcPr>
            <w:tcW w:w="773"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w:t>
            </w:r>
            <w:r/>
          </w:p>
        </w:tc>
        <w:tc>
          <w:tcPr>
            <w:tcW w:w="2595"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eastAsia="zh-CN"/>
              </w:rPr>
              <w:t xml:space="preserve">生育保险</w:t>
            </w:r>
            <w:r/>
          </w:p>
        </w:tc>
        <w:tc>
          <w:tcPr>
            <w:tcW w:w="3406"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0.8%</w:t>
            </w:r>
            <w:r/>
          </w:p>
        </w:tc>
        <w:tc>
          <w:tcPr>
            <w:tcW w:w="3021"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val="en-US" w:eastAsia="zh-CN"/>
              </w:rPr>
              <w:t xml:space="preserve">/</w:t>
            </w:r>
            <w:r/>
          </w:p>
        </w:tc>
      </w:tr>
      <w:tr>
        <w:trPr/>
        <w:tc>
          <w:tcPr>
            <w:tcW w:w="773"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w:t>
            </w:r>
            <w:r/>
          </w:p>
        </w:tc>
        <w:tc>
          <w:tcPr>
            <w:tcW w:w="2595"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vertAlign w:val="baseline"/>
                <w:lang w:eastAsia="zh-CN"/>
              </w:rPr>
              <w:t xml:space="preserve">大病医疗救助</w:t>
            </w:r>
            <w:r/>
          </w:p>
        </w:tc>
        <w:tc>
          <w:tcPr>
            <w:tcW w:w="3406"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p>
        </w:tc>
        <w:tc>
          <w:tcPr>
            <w:tcW w:w="3021" w:type="dxa"/>
            <w:vAlign w:val="top"/>
            <w:textDirection w:val="lrTb"/>
            <w:noWrap w:val="false"/>
          </w:tcPr>
          <w:p>
            <w:p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10元/月</w:t>
            </w:r>
            <w:r/>
          </w:p>
        </w:tc>
      </w:tr>
    </w:tbl>
    <w:p>
      <w:pPr>
        <w:keepLines w:val="0"/>
        <w:keepNext w:val="0"/>
        <w:pageBreakBefore w:val="0"/>
        <w:spacing w:line="24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730"/>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935"/>
        <w:rPr>
          <w:color w:val="000000"/>
          <w:highlight w:val="none"/>
          <w:lang w:val="en-US" w:eastAsia="zh-CN"/>
        </w:rPr>
      </w:pPr>
      <w:r>
        <w:rPr>
          <w:color w:val="000000"/>
          <w:highlight w:val="none"/>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0"/>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p>
    <w:p>
      <w:pPr>
        <w:ind w:firstLine="480"/>
        <w:spacing w:line="480" w:lineRule="exact"/>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1.供应商拟投入本项目的服务人员中，依法享受社保、住房公积金等缴纳减免政策的说明材料。</w:t>
      </w:r>
      <w:r/>
    </w:p>
    <w:p>
      <w:pPr>
        <w:ind w:firstLine="480"/>
        <w:spacing w:line="480" w:lineRule="exac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2.供应商享受税费优惠政策的证明材料。</w:t>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六、实质性要求响应及偏离表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实质性要求响应及偏离表</w:t>
      </w:r>
      <w:r/>
    </w:p>
    <w:tbl>
      <w:tblPr>
        <w:tblStyle w:val="729"/>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2919"/>
        <w:gridCol w:w="2832"/>
        <w:gridCol w:w="2130"/>
        <w:gridCol w:w="1199"/>
      </w:tblGrid>
      <w:tr>
        <w:trPr>
          <w:cantSplit/>
        </w:trPr>
        <w:tc>
          <w:tcPr>
            <w:tcW w:w="610" w:type="dxa"/>
            <w:vAlign w:val="center"/>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19" w:type="dxa"/>
            <w:vAlign w:val="center"/>
            <w:textDirection w:val="lrTb"/>
            <w:noWrap w:val="false"/>
          </w:tcPr>
          <w:p>
            <w:pPr>
              <w:pStyle w:val="967"/>
              <w:jc w:val="center"/>
              <w:keepLines w:val="0"/>
              <w:keepNext w:val="0"/>
              <w:pageBreakBefore w:val="0"/>
              <w:spacing w:before="0" w:beforeAutospacing="0" w:after="0" w:afterAutospacing="0" w:line="440" w:lineRule="exact"/>
              <w:widowControl/>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技术要求和商务要求中的实质性要求</w:t>
            </w:r>
            <w:r>
              <w:rPr>
                <w:rFonts w:ascii="宋体" w:hAnsi="宋体" w:eastAsia="宋体" w:cs="宋体"/>
                <w:b/>
                <w:color w:val="000000"/>
                <w:sz w:val="24"/>
                <w:szCs w:val="24"/>
                <w:highlight w:val="none"/>
                <w:u w:val="none"/>
              </w:rPr>
              <w:t xml:space="preserve">（</w:t>
            </w:r>
            <w:r>
              <w:rPr>
                <w:rFonts w:ascii="宋体" w:hAnsi="宋体" w:eastAsia="宋体" w:cs="宋体"/>
                <w:b/>
                <w:i w:val="0"/>
                <w:iCs/>
                <w:color w:val="000000"/>
                <w:sz w:val="24"/>
                <w:szCs w:val="24"/>
                <w:highlight w:val="none"/>
                <w:u w:val="none"/>
              </w:rPr>
              <w:t xml:space="preserve">斜体下划线内容</w:t>
            </w:r>
            <w:r>
              <w:rPr>
                <w:rFonts w:ascii="宋体" w:hAnsi="宋体" w:eastAsia="宋体" w:cs="宋体"/>
                <w:b/>
                <w:bCs/>
                <w:i w:val="0"/>
                <w:iCs w:val="0"/>
                <w:color w:val="000000"/>
                <w:sz w:val="24"/>
                <w:szCs w:val="24"/>
                <w:highlight w:val="none"/>
                <w:u w:val="none"/>
              </w:rPr>
              <w:t xml:space="preserve">或</w:t>
            </w:r>
            <w:r>
              <w:rPr>
                <w:rFonts w:ascii="宋体" w:hAnsi="宋体" w:eastAsia="宋体" w:cs="宋体"/>
                <w:b/>
                <w:bCs/>
                <w:color w:val="000000"/>
                <w:sz w:val="24"/>
                <w:szCs w:val="24"/>
                <w:highlight w:val="none"/>
              </w:rPr>
              <w:t xml:space="preserve">打“★”内容）</w:t>
            </w:r>
            <w:r/>
          </w:p>
        </w:tc>
        <w:tc>
          <w:tcPr>
            <w:tcW w:w="2832" w:type="dxa"/>
            <w:vAlign w:val="center"/>
            <w:textDirection w:val="lrTb"/>
            <w:noWrap w:val="false"/>
          </w:tcPr>
          <w:p>
            <w:pPr>
              <w:pStyle w:val="967"/>
              <w:jc w:val="center"/>
              <w:keepLines w:val="0"/>
              <w:keepNext w:val="0"/>
              <w:pageBreakBefore w:val="0"/>
              <w:spacing w:before="0" w:beforeAutospacing="0" w:after="0" w:afterAutospacing="0" w:line="440" w:lineRule="exact"/>
              <w:widowControl/>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响应情况</w:t>
            </w:r>
            <w:r>
              <w:rPr>
                <w:rFonts w:hint="eastAsia" w:eastAsia="宋体" w:cs="宋体"/>
                <w:color w:val="000000"/>
                <w:sz w:val="24"/>
                <w:szCs w:val="24"/>
                <w:highlight w:val="none"/>
                <w:lang w:eastAsia="zh-CN"/>
              </w:rPr>
              <w:t xml:space="preserve">（填报“响应或完全响应”）</w:t>
            </w:r>
            <w:r/>
          </w:p>
        </w:tc>
        <w:tc>
          <w:tcPr>
            <w:tcW w:w="2130" w:type="dxa"/>
            <w:vAlign w:val="center"/>
            <w:textDirection w:val="lrTb"/>
            <w:noWrap w:val="false"/>
          </w:tcPr>
          <w:p>
            <w:pPr>
              <w:pStyle w:val="967"/>
              <w:jc w:val="center"/>
              <w:keepLines w:val="0"/>
              <w:keepNext w:val="0"/>
              <w:pageBreakBefore w:val="0"/>
              <w:spacing w:before="0" w:beforeAutospacing="0" w:after="0" w:afterAutospacing="0" w:line="440" w:lineRule="exact"/>
              <w:widowControl/>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正偏离</w:t>
            </w:r>
            <w:r>
              <w:rPr>
                <w:rFonts w:hint="eastAsia" w:cs="宋体"/>
                <w:color w:val="000000"/>
                <w:sz w:val="24"/>
                <w:szCs w:val="24"/>
                <w:highlight w:val="none"/>
                <w:lang w:eastAsia="zh-CN"/>
              </w:rPr>
              <w:t xml:space="preserve">、无偏离</w:t>
            </w:r>
            <w:r>
              <w:rPr>
                <w:rFonts w:hint="eastAsia" w:eastAsia="宋体" w:cs="宋体"/>
                <w:color w:val="000000"/>
                <w:sz w:val="24"/>
                <w:szCs w:val="24"/>
                <w:highlight w:val="none"/>
                <w:lang w:eastAsia="zh-CN"/>
              </w:rPr>
              <w:t xml:space="preserve">或负偏离</w:t>
            </w:r>
            <w:r/>
          </w:p>
        </w:tc>
        <w:tc>
          <w:tcPr>
            <w:tcW w:w="1199" w:type="dxa"/>
            <w:vAlign w:val="center"/>
            <w:textDirection w:val="lrTb"/>
            <w:noWrap w:val="false"/>
          </w:tcPr>
          <w:p>
            <w:pPr>
              <w:jc w:val="center"/>
              <w:keepLines w:val="0"/>
              <w:keepNext w:val="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p>
          <w:p>
            <w:pPr>
              <w:jc w:val="center"/>
              <w:keepLines w:val="0"/>
              <w:keepNext w:val="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p>
        </w:tc>
      </w:tr>
      <w:tr>
        <w:trPr>
          <w:cantSplit/>
          <w:trHeight w:val="640"/>
        </w:trPr>
        <w:tc>
          <w:tcPr>
            <w:tcW w:w="61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1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3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1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1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3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1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1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3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1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1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3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1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1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3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1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1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3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1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1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3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1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1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2832"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30"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99" w:type="dxa"/>
            <w:vAlign w:val="top"/>
            <w:textDirection w:val="lrTb"/>
            <w:noWrap w:val="false"/>
          </w:tcPr>
          <w:p>
            <w:pPr>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jc w:val="both"/>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6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6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1.供应商必须对技术要求和商务要求中的实质性要求（</w:t>
      </w:r>
      <w:r>
        <w:rPr>
          <w:rFonts w:ascii="宋体" w:hAnsi="宋体" w:eastAsia="宋体" w:cs="宋体"/>
          <w:b/>
          <w:bCs/>
          <w:i w:val="0"/>
          <w:iCs/>
          <w:color w:val="000000"/>
          <w:sz w:val="24"/>
          <w:szCs w:val="24"/>
          <w:highlight w:val="none"/>
          <w:u w:val="none"/>
          <w:lang w:val="en-US" w:eastAsia="zh-CN"/>
        </w:rPr>
        <w:t xml:space="preserve">斜体下划线内容</w:t>
      </w:r>
      <w:r>
        <w:rPr>
          <w:rFonts w:ascii="宋体" w:hAnsi="宋体" w:eastAsia="宋体" w:cs="宋体"/>
          <w:b/>
          <w:bCs/>
          <w:color w:val="000000"/>
          <w:sz w:val="24"/>
          <w:szCs w:val="24"/>
          <w:highlight w:val="none"/>
          <w:lang w:val="en-US" w:eastAsia="zh-CN"/>
        </w:rPr>
        <w:t xml:space="preserve">或打“★”内容</w:t>
      </w:r>
      <w:r>
        <w:rPr>
          <w:rFonts w:ascii="宋体" w:hAnsi="宋体" w:eastAsia="宋体" w:cs="宋体"/>
          <w:color w:val="000000"/>
          <w:sz w:val="24"/>
          <w:szCs w:val="24"/>
          <w:highlight w:val="none"/>
          <w:lang w:val="en-US" w:eastAsia="zh-CN"/>
        </w:rPr>
        <w:t xml:space="preserve">）做出明确响应，否则作无效响应处理。</w:t>
      </w:r>
      <w:r/>
    </w:p>
    <w:p>
      <w:pPr>
        <w:pStyle w:val="96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2.如果采购文件要求提供证明材料，供应商必须将证明材料列于该表之下。</w:t>
      </w:r>
      <w:r/>
    </w:p>
    <w:p>
      <w:pPr>
        <w:pStyle w:val="96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3.供应商未对实质性要求作出明确响应的，或未按采购文件要求提供证明材料的，作无效响应处理。</w:t>
      </w:r>
      <w:r/>
    </w:p>
    <w:p>
      <w:pPr>
        <w:pStyle w:val="96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30"/>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七、中小企业声明函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eastAsia="zh-CN"/>
        </w:rPr>
        <w:t xml:space="preserve">JSZC-3201XX-JZCG-C202X-XXXX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color w:val="000000"/>
          <w:sz w:val="24"/>
          <w:szCs w:val="24"/>
          <w:highlight w:val="none"/>
          <w:u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（采购文件中明确的所属行业）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（采购文件中明确的所属行业）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p>
    <w:p>
      <w:pPr>
        <w:pStyle w:val="730"/>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供应商如不提供此声明函，不得参加专门面向中小企业采购项目或者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p>
    <w:p>
      <w:pPr>
        <w:jc w:val="left"/>
        <w:keepLines w:val="0"/>
        <w:keepNext w:val="0"/>
        <w:pageBreakBefore w:val="0"/>
        <w:spacing w:line="360" w:lineRule="auto"/>
        <w:widowControl w:val="off"/>
        <w:rPr>
          <w:rFonts w:hint="eastAsia" w:ascii="黑体" w:hAnsi="黑体" w:eastAsia="黑体" w:cs="Times New Roman"/>
          <w:b/>
          <w:i/>
          <w:color w:val="000000"/>
          <w:sz w:val="32"/>
          <w:szCs w:val="32"/>
          <w:highlight w:val="none"/>
          <w:u w:val="single"/>
          <w:lang w:val="en-US" w:eastAsia="zh-CN"/>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八、残疾人福利性单位声明函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eastAsia="zh-CN"/>
        </w:rPr>
        <w:t xml:space="preserve">JSZC-3201XX-JZCG-C202X-XXXX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p>
    <w:p>
      <w:pPr>
        <w:pStyle w:val="73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供应商如不提供此声明函，价格将不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结果同时公告，接受社会监督</w:t>
      </w:r>
      <w:r>
        <w:rPr>
          <w:rFonts w:hint="eastAsia" w:ascii="宋体" w:hAnsi="宋体"/>
          <w:color w:val="000000"/>
          <w:sz w:val="24"/>
          <w:highlight w:val="none"/>
          <w:lang w:eastAsia="zh-CN"/>
        </w:rPr>
        <w:t xml:space="preserve">。</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460" w:lineRule="exac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bookmarkEnd w:id="184"/>
      <w:r/>
      <w:r/>
    </w:p>
    <w:p>
      <w:pPr>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九、联合体协议</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p>
    <w:p>
      <w:pPr>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eastAsia="zh-CN"/>
        </w:rPr>
        <w:t xml:space="preserve">JSZC-3201XX-JZCG-C202X-XXXX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p>
    <w:p>
      <w:pPr>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p>
    <w:p>
      <w:pPr>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p>
    <w:p>
      <w:pPr>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lang w:eastAsia="zh-CN"/>
        </w:rPr>
        <w:t xml:space="preserve">采购</w:t>
      </w:r>
      <w:r>
        <w:rPr>
          <w:rFonts w:hint="eastAsia" w:ascii="宋体" w:hAnsi="宋体" w:eastAsia="宋体" w:cs="Times New Roman"/>
          <w:color w:val="000000"/>
          <w:sz w:val="24"/>
          <w:highlight w:val="none"/>
        </w:rPr>
        <w:t xml:space="preserve">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p>
    <w:p>
      <w:pPr>
        <w:jc w:val="center"/>
        <w:spacing w:line="360" w:lineRule="auto"/>
        <w:rPr>
          <w:rFonts w:hint="eastAsia"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val="en-US" w:eastAsia="zh-CN"/>
        </w:rPr>
      </w:r>
      <w:r/>
    </w:p>
    <w:p>
      <w:pPr>
        <w:jc w:val="center"/>
        <w:spacing w:line="360" w:lineRule="auto"/>
        <w:rPr>
          <w:rFonts w:hint="eastAsia"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val="en-US" w:eastAsia="zh-CN"/>
        </w:rPr>
      </w:r>
      <w:r/>
    </w:p>
    <w:p>
      <w:pPr>
        <w:jc w:val="center"/>
        <w:spacing w:line="360" w:lineRule="auto"/>
        <w:rPr>
          <w:rFonts w:hint="eastAsia"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val="en-US" w:eastAsia="zh-CN"/>
        </w:rPr>
      </w:r>
      <w:r/>
    </w:p>
    <w:p>
      <w:pPr>
        <w:jc w:val="center"/>
        <w:spacing w:line="360" w:lineRule="auto"/>
        <w:rPr>
          <w:rFonts w:hint="eastAsia"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val="en-US" w:eastAsia="zh-CN"/>
        </w:rPr>
      </w:r>
      <w:r/>
    </w:p>
    <w:p>
      <w:pPr>
        <w:pStyle w:val="753"/>
        <w:rPr>
          <w:rFonts w:hint="eastAsia" w:ascii="方正黑体_GBK" w:hAnsi="方正黑体_GBK" w:eastAsia="方正黑体_GBK" w:cs="方正黑体_GBK"/>
          <w:color w:val="000000"/>
          <w:sz w:val="32"/>
          <w:szCs w:val="32"/>
          <w:highlight w:val="none"/>
          <w:lang w:val="en-US" w:eastAsia="zh-CN"/>
        </w:rPr>
      </w:pPr>
      <w:r>
        <w:rPr>
          <w:rFonts w:hint="eastAsia" w:ascii="方正黑体_GBK" w:hAnsi="方正黑体_GBK" w:eastAsia="方正黑体_GBK" w:cs="方正黑体_GBK"/>
          <w:color w:val="000000"/>
          <w:sz w:val="32"/>
          <w:szCs w:val="32"/>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十、报价一览表</w:t>
      </w:r>
      <w:r/>
    </w:p>
    <w:p>
      <w:pPr>
        <w:jc w:val="center"/>
        <w:keepLines w:val="0"/>
        <w:keepNext w:val="0"/>
        <w:pageBreakBefore w:val="0"/>
        <w:spacing w:line="480" w:lineRule="auto"/>
        <w:widowControl w:val="off"/>
        <w:rPr>
          <w:rFonts w:hint="eastAsia" w:ascii="微软雅黑" w:hAnsi="微软雅黑" w:eastAsia="微软雅黑" w:cs="微软雅黑"/>
          <w:color w:val="000000"/>
          <w:sz w:val="32"/>
          <w:szCs w:val="32"/>
          <w:highlight w:val="none"/>
          <w:lang w:val="en-US" w:eastAsia="zh-CN"/>
        </w:rPr>
        <w:outlineLvl w:val="0"/>
      </w:pPr>
      <w:r>
        <w:rPr>
          <w:rFonts w:hint="eastAsia" w:ascii="微软雅黑" w:hAnsi="微软雅黑" w:eastAsia="微软雅黑" w:cs="微软雅黑"/>
          <w:color w:val="000000"/>
          <w:sz w:val="32"/>
          <w:szCs w:val="32"/>
          <w:highlight w:val="none"/>
          <w:lang w:val="en-US" w:eastAsia="zh-CN"/>
        </w:rPr>
        <w:t xml:space="preserve">报价一览表</w:t>
      </w:r>
      <w:r/>
    </w:p>
    <w:p>
      <w:pPr>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p>
    <w:p>
      <w:pPr>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p>
    <w:p>
      <w:pPr>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分包号：</w:t>
      </w:r>
      <w:r/>
    </w:p>
    <w:tbl>
      <w:tblPr>
        <w:tblStyle w:val="72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913"/>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投标总报价</w:t>
            </w:r>
            <w:r/>
          </w:p>
        </w:tc>
      </w:tr>
      <w:tr>
        <w:trPr>
          <w:cantSplit/>
          <w:trHeight w:val="780"/>
        </w:trPr>
        <w:tc>
          <w:tcPr>
            <w:tcW w:w="9311" w:type="dxa"/>
            <w:vAlign w:val="center"/>
            <w:textDirection w:val="lrTb"/>
            <w:noWrap w:val="false"/>
          </w:tcPr>
          <w:p>
            <w:pPr>
              <w:pStyle w:val="989"/>
              <w:ind w:firstLine="0"/>
              <w:jc w:val="left"/>
              <w:keepLines w:val="0"/>
              <w:keepNext w:val="0"/>
              <w:pageBreakBefore w:val="0"/>
              <w:spacing w:before="0" w:after="0" w:line="480" w:lineRule="auto"/>
              <w:widowControl w:val="off"/>
              <w:rPr>
                <w:rStyle w:val="913"/>
                <w:rFonts w:hint="eastAsia" w:ascii="宋体" w:hAnsi="宋体" w:eastAsia="宋体" w:cs="Times New Roman"/>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小写（人民币：元）：                             </w:t>
            </w:r>
            <w:r/>
          </w:p>
        </w:tc>
      </w:tr>
    </w:tbl>
    <w:p>
      <w:pPr>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pStyle w:val="752"/>
        <w:rPr>
          <w:rFonts w:hint="eastAsia"/>
          <w:color w:val="000000"/>
          <w:highlight w:val="none"/>
          <w:lang w:val="en-US" w:eastAsia="zh-CN"/>
        </w:rPr>
      </w:pPr>
      <w:r>
        <w:rPr>
          <w:rFonts w:hint="eastAsia"/>
          <w:color w:val="000000"/>
          <w:highlight w:val="none"/>
          <w:lang w:val="en-US" w:eastAsia="zh-CN"/>
        </w:rPr>
      </w:r>
      <w:r/>
    </w:p>
    <w:p>
      <w:pPr>
        <w:jc w:val="center"/>
        <w:spacing w:line="360" w:lineRule="auto"/>
        <w:rPr>
          <w:rFonts w:hint="eastAsia" w:ascii="方正黑体_GBK" w:hAnsi="方正黑体_GBK" w:eastAsia="方正黑体_GBK" w:cs="方正黑体_GBK"/>
          <w:color w:val="000000"/>
          <w:sz w:val="32"/>
          <w:szCs w:val="32"/>
          <w:highlight w:val="none"/>
          <w:lang w:val="en-US" w:eastAsia="zh-CN"/>
        </w:rPr>
        <w:outlineLvl w:val="0"/>
      </w:pPr>
      <w:r>
        <w:rPr>
          <w:rFonts w:hint="eastAsia" w:ascii="方正黑体_GBK" w:hAnsi="方正黑体_GBK" w:eastAsia="方正黑体_GBK" w:cs="方正黑体_GBK"/>
          <w:color w:val="000000"/>
          <w:sz w:val="32"/>
          <w:szCs w:val="32"/>
          <w:highlight w:val="none"/>
          <w:lang w:val="en-US" w:eastAsia="zh-CN"/>
        </w:rPr>
      </w:r>
      <w:r/>
    </w:p>
    <w:p>
      <w:pPr>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分</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p>
    <w:p>
      <w:pPr>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对项目的某一分包进行质疑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rPr>
        <w:t xml:space="preserve">分包号。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p>
      <w:pPr>
        <w:rPr>
          <w:rFonts w:ascii="Times New Roman" w:hAnsi="Times New Roman"/>
          <w:color w:val="000000"/>
          <w:sz w:val="24"/>
          <w:szCs w:val="24"/>
          <w:highlight w:val="none"/>
        </w:rPr>
      </w:pPr>
      <w:r>
        <w:rPr>
          <w:rFonts w:ascii="Times New Roman" w:hAnsi="Times New Roman"/>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３９</w:t>
    </w:r>
    <w:r>
      <w:rPr>
        <w:rFonts w:ascii="宋体" w:hAnsi="宋体"/>
      </w:rPr>
      <w:fldChar w:fldCharType="end"/>
    </w:r>
    <w:r/>
  </w:p>
  <w:p>
    <w:pPr>
      <w:pStyle w:val="95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条"/>
      <w:lvlJc w:val="left"/>
      <w:pPr/>
      <w:rPr>
        <w:rFonts w:hint="eastAsia"/>
        <w:b/>
        <w:bCs/>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pPr>
    </w:lvl>
    <w:lvl w:ilvl="1">
      <w:start w:val="1"/>
      <w:numFmt w:val="decimal"/>
      <w:isLgl w:val="false"/>
      <w:suff w:val="tab"/>
      <w:lvlText w:val="(%2)"/>
      <w:lvlJc w:val="left"/>
      <w:pPr>
        <w:ind w:left="840" w:hanging="420"/>
        <w:tabs>
          <w:tab w:val="left" w:pos="840" w:leader="none"/>
        </w:tabs>
      </w:pPr>
    </w:lvl>
    <w:lvl w:ilvl="2">
      <w:start w:val="1"/>
      <w:numFmt w:val="decimalEnclosedCircleChinese"/>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Letter"/>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Roman"/>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5">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pPr>
    </w:lvl>
    <w:lvl w:ilvl="1">
      <w:start w:val="1"/>
      <w:numFmt w:val="decimal"/>
      <w:isLgl w:val="false"/>
      <w:suff w:val="tab"/>
      <w:lvlText w:val="(%2)"/>
      <w:lvlJc w:val="left"/>
      <w:pPr>
        <w:ind w:left="840" w:hanging="420"/>
        <w:tabs>
          <w:tab w:val="left" w:pos="840" w:leader="none"/>
        </w:tabs>
      </w:pPr>
    </w:lvl>
    <w:lvl w:ilvl="2">
      <w:start w:val="1"/>
      <w:numFmt w:val="decimalEnclosedCircleChinese"/>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Letter"/>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Roman"/>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ind w:left="0"/>
      </w:pPr>
    </w:lvl>
    <w:lvl w:ilvl="1">
      <w:start w:val="1"/>
      <w:numFmt w:val="decimal"/>
      <w:isLgl w:val="false"/>
      <w:suff w:val="tab"/>
      <w:lvlText w:val="(%2)"/>
      <w:lvlJc w:val="left"/>
      <w:pPr>
        <w:ind w:left="840" w:hanging="420"/>
        <w:tabs>
          <w:tab w:val="left" w:pos="840" w:leader="none"/>
        </w:tabs>
      </w:pPr>
    </w:lvl>
    <w:lvl w:ilvl="2">
      <w:start w:val="1"/>
      <w:numFmt w:val="decimalEnclosedCircleChinese"/>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Letter"/>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Roman"/>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ind w:left="0"/>
      </w:pPr>
    </w:lvl>
    <w:lvl w:ilvl="1">
      <w:start w:val="1"/>
      <w:numFmt w:val="decimal"/>
      <w:isLgl w:val="false"/>
      <w:suff w:val="tab"/>
      <w:lvlText w:val="(%2)"/>
      <w:lvlJc w:val="left"/>
      <w:pPr>
        <w:ind w:left="840" w:hanging="420"/>
        <w:tabs>
          <w:tab w:val="left" w:pos="840" w:leader="none"/>
        </w:tabs>
      </w:pPr>
    </w:lvl>
    <w:lvl w:ilvl="2">
      <w:start w:val="1"/>
      <w:numFmt w:val="decimalEnclosedCircleChinese"/>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Letter"/>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Roman"/>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9"/>
      <w:isLgl w:val="false"/>
      <w:suff w:val="nothing"/>
      <w:lvlText w:val=""/>
      <w:lvlJc w:val="left"/>
      <w:pPr>
        <w:ind w:left="0" w:firstLine="0"/>
      </w:pPr>
      <w:rPr>
        <w:rFonts w:hint="eastAsia"/>
      </w:rPr>
    </w:lvl>
    <w:lvl w:ilvl="6">
      <w:start w:val="1"/>
      <w:numFmt w:val="decimal"/>
      <w:pStyle w:val="910"/>
      <w:isLgl w:val="false"/>
      <w:suff w:val="nothing"/>
      <w:lvlText w:val=""/>
      <w:lvlJc w:val="left"/>
      <w:pPr>
        <w:ind w:left="0" w:firstLine="0"/>
      </w:pPr>
      <w:rPr>
        <w:rFonts w:hint="eastAsia"/>
      </w:rPr>
    </w:lvl>
    <w:lvl w:ilvl="7">
      <w:start w:val="1"/>
      <w:numFmt w:val="decimal"/>
      <w:pStyle w:val="911"/>
      <w:isLgl w:val="false"/>
      <w:suff w:val="nothing"/>
      <w:lvlText w:val=""/>
      <w:lvlJc w:val="left"/>
      <w:pPr>
        <w:ind w:left="0" w:firstLine="0"/>
      </w:pPr>
      <w:rPr>
        <w:rFonts w:hint="eastAsia"/>
      </w:rPr>
    </w:lvl>
    <w:lvl w:ilvl="8">
      <w:start w:val="1"/>
      <w:numFmt w:val="decimal"/>
      <w:pStyle w:val="912"/>
      <w:isLgl w:val="false"/>
      <w:suff w:val="nothing"/>
      <w:lvlText w:val=""/>
      <w:lvlJc w:val="left"/>
      <w:pPr>
        <w:ind w:left="0" w:firstLine="0"/>
      </w:pPr>
      <w:rPr>
        <w:rFonts w:hint="eastAsia"/>
      </w:rPr>
    </w:lvl>
  </w:abstractNum>
  <w:abstractNum w:abstractNumId="10">
    <w:multiLevelType w:val="hybridMultilevel"/>
    <w:lvl w:ilvl="0">
      <w:start w:val="4"/>
      <w:numFmt w:val="chineseCounting"/>
      <w:isLgl w:val="false"/>
      <w:suff w:val="space"/>
      <w:lvlText w:val="第%1条"/>
      <w:lvlJc w:val="left"/>
      <w:pPr/>
      <w:rPr>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1">
    <w:multiLevelType w:val="hybridMultilevel"/>
    <w:lvl w:ilvl="0">
      <w:start w:val="2"/>
      <w:numFmt w:val="chineseCounting"/>
      <w:isLgl w:val="false"/>
      <w:suff w:val="space"/>
      <w:lvlText w:val="第%1条"/>
      <w:lvlJc w:val="left"/>
      <w:pPr/>
      <w:rPr>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2">
    <w:multiLevelType w:val="hybridMultilevel"/>
    <w:lvl w:ilvl="0">
      <w:start w:val="1"/>
      <w:numFmt w:val="decimal"/>
      <w:isLgl w:val="false"/>
      <w:suff w:val="nothing"/>
      <w:lvlText w:val="%1、"/>
      <w:lvlJc w:val="left"/>
      <w:pPr>
        <w:ind w:left="0"/>
      </w:pPr>
    </w:lvl>
    <w:lvl w:ilvl="1">
      <w:start w:val="1"/>
      <w:numFmt w:val="decimal"/>
      <w:isLgl w:val="false"/>
      <w:suff w:val="tab"/>
      <w:lvlText w:val="(%2)"/>
      <w:lvlJc w:val="left"/>
      <w:pPr>
        <w:ind w:left="840" w:hanging="420"/>
        <w:tabs>
          <w:tab w:val="left" w:pos="840" w:leader="none"/>
        </w:tabs>
      </w:pPr>
    </w:lvl>
    <w:lvl w:ilvl="2">
      <w:start w:val="1"/>
      <w:numFmt w:val="decimalEnclosedCircleChinese"/>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Letter"/>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Roman"/>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lvl>
    <w:lvl w:ilvl="1">
      <w:start w:val="1"/>
      <w:numFmt w:val="decimal"/>
      <w:isLgl w:val="false"/>
      <w:suff w:val="tab"/>
      <w:lvlText w:val="(%2)"/>
      <w:lvlJc w:val="left"/>
      <w:pPr>
        <w:ind w:left="840" w:hanging="420"/>
        <w:tabs>
          <w:tab w:val="left" w:pos="840" w:leader="none"/>
        </w:tabs>
      </w:pPr>
    </w:lvl>
    <w:lvl w:ilvl="2">
      <w:start w:val="1"/>
      <w:numFmt w:val="decimalEnclosedCircleChinese"/>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Letter"/>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Roman"/>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14">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pPr>
    </w:lvl>
    <w:lvl w:ilvl="1">
      <w:start w:val="1"/>
      <w:numFmt w:val="decimal"/>
      <w:isLgl w:val="false"/>
      <w:suff w:val="tab"/>
      <w:lvlText w:val="(%2)"/>
      <w:lvlJc w:val="left"/>
      <w:pPr>
        <w:ind w:left="840" w:hanging="420"/>
        <w:tabs>
          <w:tab w:val="left" w:pos="840" w:leader="none"/>
        </w:tabs>
      </w:pPr>
    </w:lvl>
    <w:lvl w:ilvl="2">
      <w:start w:val="1"/>
      <w:numFmt w:val="decimalEnclosedCircleChinese"/>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Letter"/>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Roman"/>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16">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10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9">
    <w:name w:val="Heading 1"/>
    <w:basedOn w:val="718"/>
    <w:next w:val="718"/>
    <w:link w:val="755"/>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56"/>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57"/>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58"/>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59"/>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60"/>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62"/>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63"/>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customStyle="1">
    <w:name w:val="索引 41"/>
    <w:basedOn w:val="718"/>
    <w:next w:val="718"/>
    <w:uiPriority w:val="0"/>
    <w:semiHidden/>
    <w:qFormat/>
    <w:pPr>
      <w:ind w:left="1260"/>
    </w:pPr>
    <w:rPr>
      <w:rFonts w:ascii="Calibri" w:hAnsi="Calibri" w:eastAsia="Calibri" w:cs="宋体"/>
      <w:sz w:val="20"/>
      <w:lang w:val="zh-CN"/>
    </w:rPr>
  </w:style>
  <w:style w:type="paragraph" w:styleId="731">
    <w:name w:val="toc 7"/>
    <w:basedOn w:val="718"/>
    <w:next w:val="718"/>
    <w:uiPriority w:val="39"/>
    <w:unhideWhenUsed/>
    <w:qFormat/>
    <w:pPr>
      <w:ind w:left="1701" w:right="0" w:firstLine="0"/>
      <w:spacing w:after="57"/>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toc 5"/>
    <w:basedOn w:val="718"/>
    <w:next w:val="718"/>
    <w:uiPriority w:val="39"/>
    <w:unhideWhenUsed/>
    <w:qFormat/>
    <w:pPr>
      <w:ind w:left="1134" w:right="0" w:firstLine="0"/>
      <w:spacing w:after="57"/>
    </w:pPr>
  </w:style>
  <w:style w:type="paragraph" w:styleId="734">
    <w:name w:val="toc 3"/>
    <w:basedOn w:val="718"/>
    <w:next w:val="718"/>
    <w:uiPriority w:val="39"/>
    <w:unhideWhenUsed/>
    <w:qFormat/>
    <w:pPr>
      <w:ind w:left="567" w:right="0" w:firstLine="0"/>
      <w:spacing w:after="57"/>
    </w:pPr>
  </w:style>
  <w:style w:type="paragraph" w:styleId="735">
    <w:name w:val="toc 8"/>
    <w:basedOn w:val="718"/>
    <w:next w:val="718"/>
    <w:uiPriority w:val="39"/>
    <w:unhideWhenUsed/>
    <w:qFormat/>
    <w:pPr>
      <w:ind w:left="1984" w:right="0" w:firstLine="0"/>
      <w:spacing w:after="57"/>
    </w:pPr>
  </w:style>
  <w:style w:type="paragraph" w:styleId="736">
    <w:name w:val="endnote text"/>
    <w:basedOn w:val="718"/>
    <w:link w:val="901"/>
    <w:uiPriority w:val="99"/>
    <w:semiHidden/>
    <w:unhideWhenUsed/>
    <w:qFormat/>
    <w:pPr>
      <w:spacing w:after="0" w:line="240" w:lineRule="auto"/>
    </w:pPr>
    <w:rPr>
      <w:sz w:val="20"/>
    </w:rPr>
  </w:style>
  <w:style w:type="paragraph" w:styleId="737">
    <w:name w:val="Footer"/>
    <w:basedOn w:val="718"/>
    <w:link w:val="774"/>
    <w:uiPriority w:val="99"/>
    <w:unhideWhenUsed/>
    <w:qFormat/>
    <w:pPr>
      <w:spacing w:after="0" w:line="240" w:lineRule="auto"/>
      <w:tabs>
        <w:tab w:val="center" w:pos="7143" w:leader="none"/>
        <w:tab w:val="right" w:pos="14287" w:leader="none"/>
      </w:tabs>
    </w:pPr>
  </w:style>
  <w:style w:type="paragraph" w:styleId="738">
    <w:name w:val="Header"/>
    <w:basedOn w:val="718"/>
    <w:link w:val="772"/>
    <w:uiPriority w:val="99"/>
    <w:unhideWhenUsed/>
    <w:qFormat/>
    <w:pPr>
      <w:spacing w:after="0" w:line="240" w:lineRule="auto"/>
      <w:tabs>
        <w:tab w:val="center" w:pos="7143" w:leader="none"/>
        <w:tab w:val="right" w:pos="14287" w:leader="none"/>
      </w:tabs>
    </w:pPr>
  </w:style>
  <w:style w:type="paragraph" w:styleId="739">
    <w:name w:val="toc 1"/>
    <w:basedOn w:val="718"/>
    <w:next w:val="718"/>
    <w:uiPriority w:val="39"/>
    <w:unhideWhenUsed/>
    <w:qFormat/>
    <w:pPr>
      <w:ind w:left="0" w:right="0" w:firstLine="0"/>
      <w:spacing w:after="57"/>
    </w:pPr>
  </w:style>
  <w:style w:type="paragraph" w:styleId="740">
    <w:name w:val="toc 4"/>
    <w:basedOn w:val="718"/>
    <w:next w:val="718"/>
    <w:uiPriority w:val="39"/>
    <w:unhideWhenUsed/>
    <w:qFormat/>
    <w:pPr>
      <w:ind w:left="850" w:right="0" w:firstLine="0"/>
      <w:spacing w:after="57"/>
    </w:pPr>
  </w:style>
  <w:style w:type="paragraph" w:styleId="741">
    <w:name w:val="Subtitle"/>
    <w:basedOn w:val="718"/>
    <w:next w:val="718"/>
    <w:link w:val="767"/>
    <w:uiPriority w:val="11"/>
    <w:qFormat/>
    <w:pPr>
      <w:spacing w:before="200" w:after="200"/>
    </w:pPr>
    <w:rPr>
      <w:sz w:val="24"/>
      <w:szCs w:val="24"/>
    </w:rPr>
  </w:style>
  <w:style w:type="paragraph" w:styleId="742">
    <w:name w:val="footnote text"/>
    <w:basedOn w:val="718"/>
    <w:link w:val="900"/>
    <w:uiPriority w:val="99"/>
    <w:semiHidden/>
    <w:unhideWhenUsed/>
    <w:qFormat/>
    <w:pPr>
      <w:spacing w:after="40" w:line="240" w:lineRule="auto"/>
    </w:pPr>
    <w:rPr>
      <w:sz w:val="18"/>
    </w:rPr>
  </w:style>
  <w:style w:type="paragraph" w:styleId="743">
    <w:name w:val="toc 6"/>
    <w:basedOn w:val="718"/>
    <w:next w:val="718"/>
    <w:uiPriority w:val="39"/>
    <w:unhideWhenUsed/>
    <w:qFormat/>
    <w:pPr>
      <w:ind w:left="1417" w:right="0" w:firstLine="0"/>
      <w:spacing w:after="57"/>
    </w:pPr>
  </w:style>
  <w:style w:type="paragraph" w:styleId="744">
    <w:name w:val="table of figures"/>
    <w:basedOn w:val="718"/>
    <w:next w:val="718"/>
    <w:uiPriority w:val="99"/>
    <w:unhideWhenUsed/>
    <w:qFormat/>
    <w:pPr>
      <w:spacing w:after="0" w:afterAutospacing="0"/>
    </w:pPr>
  </w:style>
  <w:style w:type="paragraph" w:styleId="745">
    <w:name w:val="toc 2"/>
    <w:basedOn w:val="718"/>
    <w:next w:val="718"/>
    <w:uiPriority w:val="39"/>
    <w:unhideWhenUsed/>
    <w:qFormat/>
    <w:pPr>
      <w:ind w:left="283" w:right="0" w:firstLine="0"/>
      <w:spacing w:after="57"/>
    </w:pPr>
  </w:style>
  <w:style w:type="paragraph" w:styleId="746">
    <w:name w:val="toc 9"/>
    <w:basedOn w:val="718"/>
    <w:next w:val="718"/>
    <w:uiPriority w:val="39"/>
    <w:unhideWhenUsed/>
    <w:qFormat/>
    <w:pPr>
      <w:ind w:left="2268" w:right="0" w:firstLine="0"/>
      <w:spacing w:after="57"/>
    </w:pPr>
  </w:style>
  <w:style w:type="paragraph" w:styleId="747">
    <w:name w:val="Title"/>
    <w:basedOn w:val="718"/>
    <w:next w:val="718"/>
    <w:link w:val="766"/>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正文首行缩进 211"/>
    <w:basedOn w:val="753"/>
    <w:next w:val="718"/>
    <w:uiPriority w:val="0"/>
    <w:qFormat/>
    <w:pPr>
      <w:ind w:left="0" w:firstLine="420"/>
      <w:spacing w:after="0" w:line="360" w:lineRule="auto"/>
    </w:pPr>
    <w:rPr>
      <w:rFonts w:ascii="宋体" w:hAnsi="宋体" w:eastAsia="宋体" w:cs="Times New Roman"/>
      <w:szCs w:val="20"/>
    </w:rPr>
  </w:style>
  <w:style w:type="paragraph" w:styleId="753" w:customStyle="1">
    <w:name w:val="正文文本缩进11"/>
    <w:basedOn w:val="718"/>
    <w:next w:val="754"/>
    <w:uiPriority w:val="0"/>
    <w:unhideWhenUsed/>
    <w:qFormat/>
    <w:pPr>
      <w:ind w:left="420"/>
      <w:spacing w:after="120"/>
    </w:pPr>
  </w:style>
  <w:style w:type="paragraph" w:styleId="754" w:customStyle="1">
    <w:name w:val="寄信人地址1"/>
    <w:basedOn w:val="718"/>
    <w:uiPriority w:val="0"/>
    <w:qFormat/>
    <w:rPr>
      <w:rFonts w:ascii="Arial" w:hAnsi="Arial" w:eastAsia="宋体" w:cs="宋体"/>
    </w:rPr>
  </w:style>
  <w:style w:type="character" w:styleId="755" w:customStyle="1">
    <w:name w:val="Heading 1 Char"/>
    <w:link w:val="719"/>
    <w:uiPriority w:val="9"/>
    <w:qFormat/>
    <w:rPr>
      <w:rFonts w:ascii="Arial" w:hAnsi="Arial" w:eastAsia="Arial" w:cs="Arial"/>
      <w:sz w:val="40"/>
      <w:szCs w:val="40"/>
    </w:rPr>
  </w:style>
  <w:style w:type="character" w:styleId="756" w:customStyle="1">
    <w:name w:val="Heading 2 Char"/>
    <w:link w:val="720"/>
    <w:uiPriority w:val="9"/>
    <w:qFormat/>
    <w:rPr>
      <w:rFonts w:ascii="Arial" w:hAnsi="Arial" w:eastAsia="Arial" w:cs="Arial"/>
      <w:sz w:val="34"/>
    </w:rPr>
  </w:style>
  <w:style w:type="character" w:styleId="757" w:customStyle="1">
    <w:name w:val="Heading 3 Char"/>
    <w:link w:val="721"/>
    <w:uiPriority w:val="9"/>
    <w:qFormat/>
    <w:rPr>
      <w:rFonts w:ascii="Arial" w:hAnsi="Arial" w:eastAsia="Arial" w:cs="Arial"/>
      <w:sz w:val="30"/>
      <w:szCs w:val="30"/>
    </w:rPr>
  </w:style>
  <w:style w:type="character" w:styleId="758" w:customStyle="1">
    <w:name w:val="Heading 4 Char"/>
    <w:link w:val="722"/>
    <w:uiPriority w:val="9"/>
    <w:qFormat/>
    <w:rPr>
      <w:rFonts w:ascii="Arial" w:hAnsi="Arial" w:eastAsia="Arial" w:cs="Arial"/>
      <w:b/>
      <w:bCs/>
      <w:sz w:val="26"/>
      <w:szCs w:val="26"/>
    </w:rPr>
  </w:style>
  <w:style w:type="character" w:styleId="759" w:customStyle="1">
    <w:name w:val="Heading 5 Char"/>
    <w:link w:val="723"/>
    <w:uiPriority w:val="9"/>
    <w:qFormat/>
    <w:rPr>
      <w:rFonts w:ascii="Arial" w:hAnsi="Arial" w:eastAsia="Arial" w:cs="Arial"/>
      <w:b/>
      <w:bCs/>
      <w:sz w:val="24"/>
      <w:szCs w:val="24"/>
    </w:rPr>
  </w:style>
  <w:style w:type="character" w:styleId="760" w:customStyle="1">
    <w:name w:val="Heading 6 Char"/>
    <w:link w:val="724"/>
    <w:uiPriority w:val="9"/>
    <w:qFormat/>
    <w:rPr>
      <w:rFonts w:ascii="Arial" w:hAnsi="Arial" w:eastAsia="Arial" w:cs="Arial"/>
      <w:b/>
      <w:bCs/>
      <w:sz w:val="22"/>
      <w:szCs w:val="22"/>
    </w:rPr>
  </w:style>
  <w:style w:type="character" w:styleId="761" w:customStyle="1">
    <w:name w:val="Heading 7 Char"/>
    <w:link w:val="725"/>
    <w:uiPriority w:val="9"/>
    <w:qFormat/>
    <w:rPr>
      <w:rFonts w:ascii="Arial" w:hAnsi="Arial" w:eastAsia="Arial" w:cs="Arial"/>
      <w:b/>
      <w:bCs/>
      <w:i/>
      <w:iCs/>
      <w:sz w:val="22"/>
      <w:szCs w:val="22"/>
    </w:rPr>
  </w:style>
  <w:style w:type="character" w:styleId="762" w:customStyle="1">
    <w:name w:val="Heading 8 Char"/>
    <w:link w:val="726"/>
    <w:uiPriority w:val="9"/>
    <w:qFormat/>
    <w:rPr>
      <w:rFonts w:ascii="Arial" w:hAnsi="Arial" w:eastAsia="Arial" w:cs="Arial"/>
      <w:i/>
      <w:iCs/>
      <w:sz w:val="22"/>
      <w:szCs w:val="22"/>
    </w:rPr>
  </w:style>
  <w:style w:type="character" w:styleId="763" w:customStyle="1">
    <w:name w:val="Heading 9 Char"/>
    <w:link w:val="727"/>
    <w:uiPriority w:val="9"/>
    <w:qFormat/>
    <w:rPr>
      <w:rFonts w:ascii="Arial" w:hAnsi="Arial" w:eastAsia="Arial" w:cs="Arial"/>
      <w:i/>
      <w:iCs/>
      <w:sz w:val="21"/>
      <w:szCs w:val="21"/>
    </w:rPr>
  </w:style>
  <w:style w:type="paragraph" w:styleId="764">
    <w:name w:val="List Paragraph"/>
    <w:basedOn w:val="718"/>
    <w:uiPriority w:val="34"/>
    <w:qFormat/>
    <w:pPr>
      <w:contextualSpacing/>
      <w:ind w:left="720"/>
    </w:p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link w:val="747"/>
    <w:uiPriority w:val="10"/>
    <w:qFormat/>
    <w:rPr>
      <w:sz w:val="48"/>
      <w:szCs w:val="48"/>
    </w:rPr>
  </w:style>
  <w:style w:type="character" w:styleId="767" w:customStyle="1">
    <w:name w:val="Subtitle Char"/>
    <w:link w:val="741"/>
    <w:uiPriority w:val="11"/>
    <w:qFormat/>
    <w:rPr>
      <w:sz w:val="24"/>
      <w:szCs w:val="24"/>
    </w:rPr>
  </w:style>
  <w:style w:type="paragraph" w:styleId="768">
    <w:name w:val="Quote"/>
    <w:basedOn w:val="718"/>
    <w:next w:val="718"/>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18"/>
    <w:next w:val="718"/>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link w:val="738"/>
    <w:uiPriority w:val="99"/>
    <w:qFormat/>
  </w:style>
  <w:style w:type="character" w:styleId="773" w:customStyle="1">
    <w:name w:val="Footer Char"/>
    <w:link w:val="737"/>
    <w:uiPriority w:val="99"/>
    <w:qFormat/>
  </w:style>
  <w:style w:type="character" w:styleId="774" w:customStyle="1">
    <w:name w:val="Caption Char"/>
    <w:link w:val="737"/>
    <w:uiPriority w:val="99"/>
    <w:qFormat/>
  </w:style>
  <w:style w:type="table" w:styleId="7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link w:val="742"/>
    <w:uiPriority w:val="99"/>
    <w:qFormat/>
    <w:rPr>
      <w:sz w:val="18"/>
    </w:rPr>
  </w:style>
  <w:style w:type="character" w:styleId="901" w:customStyle="1">
    <w:name w:val="Endnote Text Char"/>
    <w:link w:val="736"/>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标题 11"/>
    <w:basedOn w:val="718"/>
    <w:next w:val="718"/>
    <w:link w:val="915"/>
    <w:uiPriority w:val="0"/>
    <w:qFormat/>
    <w:pPr>
      <w:jc w:val="center"/>
      <w:keepNext/>
      <w:outlineLvl w:val="0"/>
    </w:pPr>
    <w:rPr>
      <w:rFonts w:ascii="楷体_GB2312" w:hAnsi="Times New Roman" w:eastAsia="楷体_GB2312" w:cs="Times New Roman"/>
      <w:sz w:val="28"/>
      <w:szCs w:val="28"/>
    </w:rPr>
  </w:style>
  <w:style w:type="paragraph" w:styleId="904" w:customStyle="1">
    <w:name w:val="标题 21"/>
    <w:basedOn w:val="718"/>
    <w:next w:val="905"/>
    <w:link w:val="9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5" w:customStyle="1">
    <w:name w:val="正文缩进1"/>
    <w:basedOn w:val="718"/>
    <w:link w:val="917"/>
    <w:uiPriority w:val="0"/>
    <w:qFormat/>
    <w:pPr>
      <w:ind w:firstLine="420"/>
    </w:pPr>
    <w:rPr>
      <w:szCs w:val="21"/>
    </w:rPr>
  </w:style>
  <w:style w:type="paragraph" w:styleId="906" w:customStyle="1">
    <w:name w:val="标题 31"/>
    <w:basedOn w:val="718"/>
    <w:next w:val="905"/>
    <w:link w:val="91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customStyle="1">
    <w:name w:val="标题 41"/>
    <w:basedOn w:val="718"/>
    <w:next w:val="905"/>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908" w:customStyle="1">
    <w:name w:val="标题 51"/>
    <w:basedOn w:val="718"/>
    <w:next w:val="905"/>
    <w:link w:val="920"/>
    <w:uiPriority w:val="0"/>
    <w:qFormat/>
    <w:pPr>
      <w:keepNext/>
      <w:outlineLvl w:val="4"/>
    </w:pPr>
    <w:rPr>
      <w:rFonts w:ascii="宋体" w:hAnsi="Times New Roman" w:eastAsia="宋体" w:cs="Times New Roman"/>
      <w:color w:val="000000"/>
      <w:sz w:val="28"/>
      <w:szCs w:val="28"/>
    </w:rPr>
  </w:style>
  <w:style w:type="paragraph" w:styleId="909" w:customStyle="1">
    <w:name w:val="标题 61"/>
    <w:basedOn w:val="718"/>
    <w:next w:val="718"/>
    <w:link w:val="92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customStyle="1">
    <w:name w:val="标题 71"/>
    <w:basedOn w:val="718"/>
    <w:next w:val="718"/>
    <w:link w:val="92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customStyle="1">
    <w:name w:val="标题 81"/>
    <w:basedOn w:val="718"/>
    <w:next w:val="718"/>
    <w:link w:val="92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customStyle="1">
    <w:name w:val="标题 91"/>
    <w:basedOn w:val="718"/>
    <w:next w:val="718"/>
    <w:link w:val="92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customStyle="1">
    <w:name w:val="默认段落字体1"/>
    <w:link w:val="718"/>
    <w:uiPriority w:val="1"/>
    <w:unhideWhenUsed/>
    <w:qFormat/>
  </w:style>
  <w:style w:type="table" w:styleId="914" w:customStyle="1">
    <w:name w:val="普通表格11"/>
    <w:uiPriority w:val="99"/>
    <w:unhideWhenUsed/>
    <w:qFormat/>
    <w:tblPr/>
  </w:style>
  <w:style w:type="character" w:styleId="915" w:customStyle="1">
    <w:name w:val="标题 1 Char"/>
    <w:link w:val="903"/>
    <w:uiPriority w:val="0"/>
    <w:qFormat/>
    <w:rPr>
      <w:rFonts w:ascii="楷体_GB2312" w:hAnsi="Times New Roman" w:eastAsia="楷体_GB2312" w:cs="Times New Roman"/>
      <w:sz w:val="28"/>
      <w:szCs w:val="28"/>
    </w:rPr>
  </w:style>
  <w:style w:type="character" w:styleId="916" w:customStyle="1">
    <w:name w:val="标题 2 Char"/>
    <w:link w:val="904"/>
    <w:uiPriority w:val="0"/>
    <w:qFormat/>
    <w:rPr>
      <w:rFonts w:ascii="Arial" w:hAnsi="Arial" w:eastAsia="幼圆" w:cs="Arial"/>
      <w:b/>
      <w:bCs/>
      <w:sz w:val="44"/>
      <w:szCs w:val="44"/>
    </w:rPr>
  </w:style>
  <w:style w:type="character" w:styleId="917" w:customStyle="1">
    <w:name w:val="正文缩进 Char"/>
    <w:link w:val="905"/>
    <w:uiPriority w:val="0"/>
    <w:qFormat/>
    <w:rPr>
      <w:szCs w:val="21"/>
    </w:rPr>
  </w:style>
  <w:style w:type="character" w:styleId="918" w:customStyle="1">
    <w:name w:val="标题 3 Char"/>
    <w:link w:val="906"/>
    <w:uiPriority w:val="0"/>
    <w:qFormat/>
    <w:rPr>
      <w:rFonts w:ascii="Times New Roman" w:hAnsi="Times New Roman" w:eastAsia="宋体" w:cs="Times New Roman"/>
      <w:b/>
      <w:bCs/>
      <w:sz w:val="32"/>
      <w:szCs w:val="32"/>
    </w:rPr>
  </w:style>
  <w:style w:type="character" w:styleId="919" w:customStyle="1">
    <w:name w:val="标题 4 Char"/>
    <w:link w:val="907"/>
    <w:uiPriority w:val="0"/>
    <w:qFormat/>
    <w:rPr>
      <w:rFonts w:ascii="Arial" w:hAnsi="Arial" w:eastAsia="黑体" w:cs="Arial"/>
      <w:b/>
      <w:bCs/>
      <w:sz w:val="28"/>
      <w:szCs w:val="28"/>
    </w:rPr>
  </w:style>
  <w:style w:type="character" w:styleId="920" w:customStyle="1">
    <w:name w:val="标题 5 Char"/>
    <w:link w:val="908"/>
    <w:uiPriority w:val="0"/>
    <w:qFormat/>
    <w:rPr>
      <w:rFonts w:ascii="宋体" w:hAnsi="Times New Roman" w:eastAsia="宋体" w:cs="Times New Roman"/>
      <w:color w:val="000000"/>
      <w:sz w:val="28"/>
      <w:szCs w:val="28"/>
    </w:rPr>
  </w:style>
  <w:style w:type="character" w:styleId="921" w:customStyle="1">
    <w:name w:val="标题 6 Char"/>
    <w:link w:val="909"/>
    <w:uiPriority w:val="0"/>
    <w:qFormat/>
    <w:rPr>
      <w:rFonts w:ascii="Arial" w:hAnsi="Arial" w:eastAsia="黑体" w:cs="Times New Roman"/>
      <w:b/>
      <w:bCs/>
      <w:sz w:val="24"/>
      <w:szCs w:val="24"/>
    </w:rPr>
  </w:style>
  <w:style w:type="character" w:styleId="922" w:customStyle="1">
    <w:name w:val="标题 7 Char"/>
    <w:link w:val="910"/>
    <w:uiPriority w:val="0"/>
    <w:qFormat/>
    <w:rPr>
      <w:rFonts w:ascii="Times New Roman" w:hAnsi="Times New Roman" w:eastAsia="宋体" w:cs="Times New Roman"/>
      <w:b/>
      <w:bCs/>
      <w:sz w:val="24"/>
      <w:szCs w:val="24"/>
    </w:rPr>
  </w:style>
  <w:style w:type="character" w:styleId="923" w:customStyle="1">
    <w:name w:val="标题 8 Char"/>
    <w:link w:val="911"/>
    <w:uiPriority w:val="0"/>
    <w:qFormat/>
    <w:rPr>
      <w:rFonts w:ascii="Arial" w:hAnsi="Arial" w:eastAsia="黑体" w:cs="Times New Roman"/>
      <w:sz w:val="24"/>
      <w:szCs w:val="24"/>
    </w:rPr>
  </w:style>
  <w:style w:type="character" w:styleId="924" w:customStyle="1">
    <w:name w:val="标题 9 Char"/>
    <w:link w:val="912"/>
    <w:uiPriority w:val="0"/>
    <w:qFormat/>
    <w:rPr>
      <w:rFonts w:ascii="Arial" w:hAnsi="Arial" w:eastAsia="黑体" w:cs="Times New Roman"/>
      <w:szCs w:val="21"/>
    </w:rPr>
  </w:style>
  <w:style w:type="paragraph" w:styleId="925" w:customStyle="1">
    <w:name w:val="列表 31"/>
    <w:basedOn w:val="718"/>
    <w:uiPriority w:val="0"/>
    <w:qFormat/>
    <w:pPr>
      <w:ind w:left="100" w:hanging="200"/>
    </w:pPr>
    <w:rPr>
      <w:rFonts w:ascii="Times New Roman" w:hAnsi="Times New Roman" w:eastAsia="宋体" w:cs="Times New Roman"/>
      <w:szCs w:val="21"/>
    </w:rPr>
  </w:style>
  <w:style w:type="paragraph" w:styleId="926" w:customStyle="1">
    <w:name w:val="目录 71"/>
    <w:basedOn w:val="718"/>
    <w:next w:val="718"/>
    <w:uiPriority w:val="0"/>
    <w:semiHidden/>
    <w:qFormat/>
    <w:pPr>
      <w:ind w:left="1260"/>
      <w:jc w:val="left"/>
    </w:pPr>
    <w:rPr>
      <w:rFonts w:ascii="Times New Roman" w:hAnsi="Times New Roman" w:eastAsia="宋体" w:cs="Times New Roman"/>
      <w:szCs w:val="21"/>
    </w:rPr>
  </w:style>
  <w:style w:type="paragraph" w:styleId="927" w:customStyle="1">
    <w:name w:val="文档结构图1"/>
    <w:basedOn w:val="718"/>
    <w:link w:val="928"/>
    <w:uiPriority w:val="0"/>
    <w:semiHidden/>
    <w:qFormat/>
    <w:pPr>
      <w:shd w:val="clear" w:color="auto" w:fill="000080"/>
    </w:pPr>
    <w:rPr>
      <w:rFonts w:ascii="Times New Roman" w:hAnsi="Times New Roman" w:eastAsia="宋体" w:cs="Times New Roman"/>
      <w:szCs w:val="21"/>
    </w:rPr>
  </w:style>
  <w:style w:type="character" w:styleId="928" w:customStyle="1">
    <w:name w:val="文档结构图 Char"/>
    <w:link w:val="927"/>
    <w:uiPriority w:val="0"/>
    <w:semiHidden/>
    <w:qFormat/>
    <w:rPr>
      <w:rFonts w:ascii="Times New Roman" w:hAnsi="Times New Roman" w:eastAsia="宋体" w:cs="Times New Roman"/>
      <w:szCs w:val="21"/>
      <w:shd w:val="clear" w:color="auto" w:fill="000080"/>
    </w:rPr>
  </w:style>
  <w:style w:type="paragraph" w:styleId="929" w:customStyle="1">
    <w:name w:val="批注文字1"/>
    <w:basedOn w:val="718"/>
    <w:link w:val="930"/>
    <w:uiPriority w:val="0"/>
    <w:unhideWhenUsed/>
    <w:qFormat/>
    <w:pPr>
      <w:jc w:val="left"/>
    </w:pPr>
  </w:style>
  <w:style w:type="character" w:styleId="930" w:customStyle="1">
    <w:name w:val="批注文字 Char"/>
    <w:basedOn w:val="913"/>
    <w:link w:val="929"/>
    <w:uiPriority w:val="99"/>
    <w:semiHidden/>
    <w:qFormat/>
  </w:style>
  <w:style w:type="paragraph" w:styleId="931" w:customStyle="1">
    <w:name w:val="正文文本 31"/>
    <w:basedOn w:val="718"/>
    <w:link w:val="932"/>
    <w:uiPriority w:val="0"/>
    <w:qFormat/>
    <w:rPr>
      <w:rFonts w:ascii="仿宋_GB2312" w:hAnsi="Arial" w:eastAsia="仿宋_GB2312" w:cs="Times New Roman"/>
      <w:sz w:val="32"/>
      <w:szCs w:val="32"/>
    </w:rPr>
  </w:style>
  <w:style w:type="character" w:styleId="932" w:customStyle="1">
    <w:name w:val="正文文本 3 Char"/>
    <w:link w:val="931"/>
    <w:uiPriority w:val="0"/>
    <w:qFormat/>
    <w:rPr>
      <w:rFonts w:ascii="仿宋_GB2312" w:hAnsi="Arial" w:eastAsia="仿宋_GB2312" w:cs="Times New Roman"/>
      <w:sz w:val="32"/>
      <w:szCs w:val="32"/>
    </w:rPr>
  </w:style>
  <w:style w:type="paragraph" w:styleId="933" w:customStyle="1">
    <w:name w:val="正文文本11"/>
    <w:basedOn w:val="718"/>
    <w:link w:val="934"/>
    <w:uiPriority w:val="0"/>
    <w:qFormat/>
    <w:rPr>
      <w:rFonts w:ascii="楷体_GB2312" w:hAnsi="Arial" w:eastAsia="楷体_GB2312" w:cs="Times New Roman"/>
      <w:sz w:val="28"/>
      <w:szCs w:val="28"/>
    </w:rPr>
  </w:style>
  <w:style w:type="character" w:styleId="934" w:customStyle="1">
    <w:name w:val="正文文本 Char"/>
    <w:link w:val="933"/>
    <w:uiPriority w:val="0"/>
    <w:qFormat/>
    <w:rPr>
      <w:rFonts w:ascii="楷体_GB2312" w:hAnsi="Arial" w:eastAsia="楷体_GB2312" w:cs="Times New Roman"/>
      <w:sz w:val="28"/>
      <w:szCs w:val="28"/>
    </w:rPr>
  </w:style>
  <w:style w:type="paragraph" w:styleId="935" w:customStyle="1">
    <w:name w:val="正文文本缩进1"/>
    <w:basedOn w:val="718"/>
    <w:next w:val="936"/>
    <w:link w:val="937"/>
    <w:uiPriority w:val="0"/>
    <w:unhideWhenUsed/>
    <w:qFormat/>
    <w:pPr>
      <w:ind w:left="420"/>
      <w:spacing w:after="120"/>
    </w:pPr>
  </w:style>
  <w:style w:type="paragraph" w:styleId="936" w:customStyle="1">
    <w:name w:val="正文首行缩进 21"/>
    <w:basedOn w:val="935"/>
    <w:link w:val="938"/>
    <w:uiPriority w:val="0"/>
    <w:qFormat/>
    <w:pPr>
      <w:ind w:left="0" w:firstLine="420"/>
      <w:spacing w:after="0" w:line="360" w:lineRule="auto"/>
    </w:pPr>
    <w:rPr>
      <w:rFonts w:ascii="宋体" w:hAnsi="宋体" w:eastAsia="宋体" w:cs="Times New Roman"/>
      <w:szCs w:val="20"/>
    </w:rPr>
  </w:style>
  <w:style w:type="character" w:styleId="937" w:customStyle="1">
    <w:name w:val="正文文本缩进 Char"/>
    <w:basedOn w:val="913"/>
    <w:link w:val="935"/>
    <w:uiPriority w:val="99"/>
    <w:semiHidden/>
    <w:qFormat/>
  </w:style>
  <w:style w:type="character" w:styleId="938" w:customStyle="1">
    <w:name w:val="正文首行缩进 2 Char"/>
    <w:link w:val="936"/>
    <w:uiPriority w:val="0"/>
    <w:qFormat/>
    <w:rPr>
      <w:rFonts w:ascii="宋体" w:hAnsi="宋体" w:eastAsia="宋体" w:cs="Times New Roman"/>
      <w:szCs w:val="20"/>
    </w:rPr>
  </w:style>
  <w:style w:type="paragraph" w:styleId="939" w:customStyle="1">
    <w:name w:val="列表 21"/>
    <w:basedOn w:val="718"/>
    <w:uiPriority w:val="0"/>
    <w:qFormat/>
    <w:pPr>
      <w:ind w:left="100" w:hanging="200"/>
    </w:pPr>
    <w:rPr>
      <w:rFonts w:ascii="Times New Roman" w:hAnsi="Times New Roman" w:eastAsia="宋体" w:cs="Times New Roman"/>
      <w:szCs w:val="21"/>
    </w:rPr>
  </w:style>
  <w:style w:type="paragraph" w:styleId="940" w:customStyle="1">
    <w:name w:val="索引 42"/>
    <w:basedOn w:val="718"/>
    <w:next w:val="718"/>
    <w:uiPriority w:val="0"/>
    <w:semiHidden/>
    <w:qFormat/>
    <w:pPr>
      <w:ind w:left="1260"/>
    </w:pPr>
    <w:rPr>
      <w:rFonts w:ascii="Calibri" w:hAnsi="Calibri" w:eastAsia="Calibri" w:cs="宋体"/>
      <w:sz w:val="20"/>
      <w:lang w:val="zh-CN"/>
    </w:rPr>
  </w:style>
  <w:style w:type="paragraph" w:styleId="941" w:customStyle="1">
    <w:name w:val="目录 51"/>
    <w:basedOn w:val="718"/>
    <w:next w:val="718"/>
    <w:uiPriority w:val="0"/>
    <w:semiHidden/>
    <w:qFormat/>
    <w:pPr>
      <w:ind w:left="840"/>
      <w:jc w:val="left"/>
    </w:pPr>
    <w:rPr>
      <w:rFonts w:ascii="Times New Roman" w:hAnsi="Times New Roman" w:eastAsia="宋体" w:cs="Times New Roman"/>
      <w:szCs w:val="21"/>
    </w:rPr>
  </w:style>
  <w:style w:type="paragraph" w:styleId="942" w:customStyle="1">
    <w:name w:val="目录 31"/>
    <w:basedOn w:val="718"/>
    <w:next w:val="718"/>
    <w:uiPriority w:val="0"/>
    <w:semiHidden/>
    <w:qFormat/>
    <w:pPr>
      <w:ind w:left="420"/>
      <w:jc w:val="left"/>
    </w:pPr>
    <w:rPr>
      <w:rFonts w:ascii="Times New Roman" w:hAnsi="Times New Roman" w:eastAsia="宋体" w:cs="Times New Roman"/>
      <w:i/>
      <w:iCs/>
      <w:szCs w:val="24"/>
    </w:rPr>
  </w:style>
  <w:style w:type="paragraph" w:styleId="943" w:customStyle="1">
    <w:name w:val="纯文本11"/>
    <w:basedOn w:val="718"/>
    <w:link w:val="944"/>
    <w:uiPriority w:val="0"/>
    <w:qFormat/>
    <w:rPr>
      <w:rFonts w:ascii="宋体" w:hAnsi="Courier New" w:eastAsia="宋体" w:cs="Courier New"/>
      <w:szCs w:val="21"/>
    </w:rPr>
  </w:style>
  <w:style w:type="character" w:styleId="944" w:customStyle="1">
    <w:name w:val="纯文本 Char"/>
    <w:link w:val="943"/>
    <w:uiPriority w:val="0"/>
    <w:qFormat/>
    <w:rPr>
      <w:rFonts w:ascii="宋体" w:hAnsi="Courier New" w:eastAsia="宋体" w:cs="Courier New"/>
      <w:szCs w:val="21"/>
    </w:rPr>
  </w:style>
  <w:style w:type="paragraph" w:styleId="945" w:customStyle="1">
    <w:name w:val="目录 81"/>
    <w:basedOn w:val="718"/>
    <w:next w:val="718"/>
    <w:uiPriority w:val="0"/>
    <w:semiHidden/>
    <w:qFormat/>
    <w:pPr>
      <w:ind w:left="1470"/>
      <w:jc w:val="left"/>
    </w:pPr>
    <w:rPr>
      <w:rFonts w:ascii="Times New Roman" w:hAnsi="Times New Roman" w:eastAsia="宋体" w:cs="Times New Roman"/>
      <w:szCs w:val="21"/>
    </w:rPr>
  </w:style>
  <w:style w:type="paragraph" w:styleId="946" w:customStyle="1">
    <w:name w:val="日期1"/>
    <w:basedOn w:val="718"/>
    <w:next w:val="718"/>
    <w:link w:val="947"/>
    <w:uiPriority w:val="0"/>
    <w:qFormat/>
    <w:rPr>
      <w:rFonts w:ascii="Times New Roman" w:hAnsi="Times New Roman" w:eastAsia="宋体" w:cs="Times New Roman"/>
      <w:sz w:val="24"/>
      <w:szCs w:val="24"/>
    </w:rPr>
  </w:style>
  <w:style w:type="character" w:styleId="947" w:customStyle="1">
    <w:name w:val="日期 Char"/>
    <w:link w:val="946"/>
    <w:uiPriority w:val="0"/>
    <w:qFormat/>
    <w:rPr>
      <w:rFonts w:ascii="Times New Roman" w:hAnsi="Times New Roman" w:eastAsia="宋体" w:cs="Times New Roman"/>
      <w:sz w:val="24"/>
      <w:szCs w:val="24"/>
    </w:rPr>
  </w:style>
  <w:style w:type="paragraph" w:styleId="948" w:customStyle="1">
    <w:name w:val="正文文本缩进 21"/>
    <w:basedOn w:val="718"/>
    <w:link w:val="949"/>
    <w:uiPriority w:val="0"/>
    <w:qFormat/>
    <w:pPr>
      <w:ind w:left="630" w:firstLine="645"/>
    </w:pPr>
    <w:rPr>
      <w:rFonts w:ascii="Arial" w:hAnsi="Arial" w:eastAsia="仿宋_GB2312" w:cs="Arial"/>
      <w:sz w:val="32"/>
      <w:szCs w:val="32"/>
    </w:rPr>
  </w:style>
  <w:style w:type="character" w:styleId="949" w:customStyle="1">
    <w:name w:val="正文文本缩进 2 Char"/>
    <w:link w:val="948"/>
    <w:uiPriority w:val="0"/>
    <w:qFormat/>
    <w:rPr>
      <w:rFonts w:ascii="Arial" w:hAnsi="Arial" w:eastAsia="仿宋_GB2312" w:cs="Arial"/>
      <w:sz w:val="32"/>
      <w:szCs w:val="32"/>
    </w:rPr>
  </w:style>
  <w:style w:type="paragraph" w:styleId="950" w:customStyle="1">
    <w:name w:val="批注框文本1"/>
    <w:basedOn w:val="718"/>
    <w:link w:val="951"/>
    <w:uiPriority w:val="0"/>
    <w:semiHidden/>
    <w:qFormat/>
    <w:rPr>
      <w:rFonts w:ascii="Times New Roman" w:hAnsi="Times New Roman" w:eastAsia="宋体" w:cs="Times New Roman"/>
      <w:sz w:val="18"/>
      <w:szCs w:val="18"/>
    </w:rPr>
  </w:style>
  <w:style w:type="character" w:styleId="951" w:customStyle="1">
    <w:name w:val="批注框文本 Char"/>
    <w:link w:val="950"/>
    <w:uiPriority w:val="0"/>
    <w:semiHidden/>
    <w:qFormat/>
    <w:rPr>
      <w:rFonts w:ascii="Times New Roman" w:hAnsi="Times New Roman" w:eastAsia="宋体" w:cs="Times New Roman"/>
      <w:sz w:val="18"/>
      <w:szCs w:val="18"/>
    </w:rPr>
  </w:style>
  <w:style w:type="paragraph" w:styleId="952" w:customStyle="1">
    <w:name w:val="页脚1"/>
    <w:basedOn w:val="718"/>
    <w:link w:val="95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3" w:customStyle="1">
    <w:name w:val="页脚 Char"/>
    <w:link w:val="952"/>
    <w:uiPriority w:val="0"/>
    <w:qFormat/>
    <w:rPr>
      <w:rFonts w:ascii="Times New Roman" w:hAnsi="Times New Roman" w:eastAsia="宋体" w:cs="Times New Roman"/>
      <w:sz w:val="18"/>
      <w:szCs w:val="18"/>
    </w:rPr>
  </w:style>
  <w:style w:type="paragraph" w:styleId="954" w:customStyle="1">
    <w:name w:val="页眉1"/>
    <w:basedOn w:val="718"/>
    <w:link w:val="95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5" w:customStyle="1">
    <w:name w:val="页眉 Char"/>
    <w:link w:val="954"/>
    <w:uiPriority w:val="0"/>
    <w:qFormat/>
    <w:rPr>
      <w:rFonts w:ascii="Times New Roman" w:hAnsi="Times New Roman" w:eastAsia="宋体" w:cs="Times New Roman"/>
      <w:sz w:val="18"/>
      <w:szCs w:val="18"/>
    </w:rPr>
  </w:style>
  <w:style w:type="paragraph" w:styleId="956" w:customStyle="1">
    <w:name w:val="目录 11"/>
    <w:basedOn w:val="718"/>
    <w:next w:val="71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7" w:customStyle="1">
    <w:name w:val="目录 41"/>
    <w:basedOn w:val="718"/>
    <w:next w:val="718"/>
    <w:uiPriority w:val="0"/>
    <w:semiHidden/>
    <w:qFormat/>
    <w:pPr>
      <w:ind w:left="630"/>
      <w:jc w:val="left"/>
    </w:pPr>
    <w:rPr>
      <w:rFonts w:ascii="Times New Roman" w:hAnsi="Times New Roman" w:eastAsia="宋体" w:cs="Times New Roman"/>
      <w:szCs w:val="21"/>
    </w:rPr>
  </w:style>
  <w:style w:type="paragraph" w:styleId="958" w:customStyle="1">
    <w:name w:val="列表1"/>
    <w:basedOn w:val="718"/>
    <w:uiPriority w:val="0"/>
    <w:qFormat/>
    <w:pPr>
      <w:ind w:left="200" w:hanging="200"/>
    </w:pPr>
    <w:rPr>
      <w:rFonts w:ascii="Times New Roman" w:hAnsi="Times New Roman" w:eastAsia="宋体" w:cs="Times New Roman"/>
      <w:szCs w:val="21"/>
    </w:rPr>
  </w:style>
  <w:style w:type="paragraph" w:styleId="959" w:customStyle="1">
    <w:name w:val="目录 61"/>
    <w:basedOn w:val="718"/>
    <w:next w:val="718"/>
    <w:uiPriority w:val="0"/>
    <w:semiHidden/>
    <w:qFormat/>
    <w:pPr>
      <w:ind w:left="1050"/>
      <w:jc w:val="left"/>
    </w:pPr>
    <w:rPr>
      <w:rFonts w:ascii="Times New Roman" w:hAnsi="Times New Roman" w:eastAsia="宋体" w:cs="Times New Roman"/>
      <w:szCs w:val="21"/>
    </w:rPr>
  </w:style>
  <w:style w:type="paragraph" w:styleId="960" w:customStyle="1">
    <w:name w:val="正文文本缩进 31"/>
    <w:basedOn w:val="718"/>
    <w:link w:val="961"/>
    <w:uiPriority w:val="0"/>
    <w:qFormat/>
    <w:pPr>
      <w:ind w:left="645" w:firstLine="645"/>
    </w:pPr>
    <w:rPr>
      <w:rFonts w:ascii="Arial" w:hAnsi="Arial" w:eastAsia="仿宋_GB2312" w:cs="Arial"/>
      <w:color w:val="ffff00"/>
      <w:sz w:val="32"/>
      <w:szCs w:val="32"/>
    </w:rPr>
  </w:style>
  <w:style w:type="character" w:styleId="961" w:customStyle="1">
    <w:name w:val="正文文本缩进 3 Char"/>
    <w:link w:val="960"/>
    <w:uiPriority w:val="0"/>
    <w:qFormat/>
    <w:rPr>
      <w:rFonts w:ascii="Arial" w:hAnsi="Arial" w:eastAsia="仿宋_GB2312" w:cs="Arial"/>
      <w:color w:val="ffff00"/>
      <w:sz w:val="32"/>
      <w:szCs w:val="32"/>
    </w:rPr>
  </w:style>
  <w:style w:type="paragraph" w:styleId="962" w:customStyle="1">
    <w:name w:val="图表目录1"/>
    <w:basedOn w:val="718"/>
    <w:next w:val="718"/>
    <w:uiPriority w:val="0"/>
    <w:semiHidden/>
    <w:qFormat/>
    <w:pPr>
      <w:ind w:left="840" w:hanging="420"/>
    </w:pPr>
    <w:rPr>
      <w:rFonts w:ascii="Times New Roman" w:hAnsi="Times New Roman" w:eastAsia="宋体" w:cs="Times New Roman"/>
      <w:szCs w:val="21"/>
    </w:rPr>
  </w:style>
  <w:style w:type="paragraph" w:styleId="963" w:customStyle="1">
    <w:name w:val="目录 21"/>
    <w:basedOn w:val="718"/>
    <w:next w:val="718"/>
    <w:uiPriority w:val="0"/>
    <w:semiHidden/>
    <w:qFormat/>
    <w:pPr>
      <w:ind w:left="210"/>
      <w:jc w:val="left"/>
    </w:pPr>
    <w:rPr>
      <w:rFonts w:ascii="Times New Roman" w:hAnsi="Times New Roman" w:eastAsia="宋体" w:cs="Times New Roman"/>
      <w:smallCaps/>
      <w:szCs w:val="24"/>
    </w:rPr>
  </w:style>
  <w:style w:type="paragraph" w:styleId="964" w:customStyle="1">
    <w:name w:val="目录 91"/>
    <w:basedOn w:val="718"/>
    <w:next w:val="718"/>
    <w:uiPriority w:val="0"/>
    <w:semiHidden/>
    <w:qFormat/>
    <w:pPr>
      <w:ind w:left="1680"/>
      <w:jc w:val="left"/>
    </w:pPr>
    <w:rPr>
      <w:rFonts w:ascii="Times New Roman" w:hAnsi="Times New Roman" w:eastAsia="宋体" w:cs="Times New Roman"/>
      <w:szCs w:val="21"/>
    </w:rPr>
  </w:style>
  <w:style w:type="paragraph" w:styleId="965" w:customStyle="1">
    <w:name w:val="正文文本 21"/>
    <w:basedOn w:val="718"/>
    <w:link w:val="966"/>
    <w:uiPriority w:val="0"/>
    <w:qFormat/>
    <w:pPr>
      <w:jc w:val="center"/>
      <w:widowControl/>
    </w:pPr>
    <w:rPr>
      <w:rFonts w:ascii="楷体_GB2312" w:hAnsi="Times New Roman" w:eastAsia="楷体_GB2312" w:cs="Times New Roman"/>
      <w:sz w:val="28"/>
      <w:szCs w:val="28"/>
    </w:rPr>
  </w:style>
  <w:style w:type="character" w:styleId="966" w:customStyle="1">
    <w:name w:val="正文文本 2 Char"/>
    <w:link w:val="965"/>
    <w:uiPriority w:val="0"/>
    <w:qFormat/>
    <w:rPr>
      <w:rFonts w:ascii="楷体_GB2312" w:hAnsi="Times New Roman" w:eastAsia="楷体_GB2312" w:cs="Times New Roman"/>
      <w:sz w:val="28"/>
      <w:szCs w:val="28"/>
    </w:rPr>
  </w:style>
  <w:style w:type="paragraph" w:styleId="967" w:customStyle="1">
    <w:name w:val="普通(网站)1"/>
    <w:basedOn w:val="718"/>
    <w:uiPriority w:val="99"/>
    <w:qFormat/>
    <w:pPr>
      <w:jc w:val="left"/>
      <w:spacing w:before="100" w:beforeAutospacing="1" w:after="100" w:afterAutospacing="1"/>
      <w:widowControl/>
    </w:pPr>
    <w:rPr>
      <w:rFonts w:ascii="宋体" w:hAnsi="宋体" w:eastAsia="宋体" w:cs="宋体"/>
      <w:sz w:val="24"/>
      <w:szCs w:val="24"/>
    </w:rPr>
  </w:style>
  <w:style w:type="paragraph" w:styleId="968" w:customStyle="1">
    <w:name w:val="索引 11"/>
    <w:basedOn w:val="718"/>
    <w:next w:val="718"/>
    <w:uiPriority w:val="0"/>
    <w:semiHidden/>
    <w:qFormat/>
    <w:pPr>
      <w:spacing w:line="240" w:lineRule="atLeast"/>
    </w:pPr>
    <w:rPr>
      <w:rFonts w:ascii="Times New Roman" w:hAnsi="Times New Roman" w:eastAsia="宋体" w:cs="Times New Roman"/>
      <w:b/>
      <w:bCs/>
      <w:szCs w:val="21"/>
    </w:rPr>
  </w:style>
  <w:style w:type="paragraph" w:styleId="969" w:customStyle="1">
    <w:name w:val="批注主题1"/>
    <w:basedOn w:val="929"/>
    <w:next w:val="929"/>
    <w:link w:val="970"/>
    <w:uiPriority w:val="0"/>
    <w:semiHidden/>
    <w:qFormat/>
    <w:rPr>
      <w:rFonts w:ascii="Times New Roman" w:hAnsi="Times New Roman" w:eastAsia="宋体" w:cs="Times New Roman"/>
      <w:b/>
      <w:bCs/>
      <w:szCs w:val="21"/>
    </w:rPr>
  </w:style>
  <w:style w:type="character" w:styleId="970" w:customStyle="1">
    <w:name w:val="批注主题 Char"/>
    <w:link w:val="969"/>
    <w:uiPriority w:val="0"/>
    <w:semiHidden/>
    <w:qFormat/>
    <w:rPr>
      <w:rFonts w:ascii="Times New Roman" w:hAnsi="Times New Roman" w:eastAsia="宋体" w:cs="Times New Roman"/>
      <w:b/>
      <w:bCs/>
      <w:szCs w:val="21"/>
    </w:rPr>
  </w:style>
  <w:style w:type="paragraph" w:styleId="971" w:customStyle="1">
    <w:name w:val="正文首行缩进1"/>
    <w:basedOn w:val="718"/>
    <w:link w:val="972"/>
    <w:uiPriority w:val="0"/>
    <w:qFormat/>
    <w:pPr>
      <w:ind w:firstLine="200"/>
      <w:spacing w:line="360" w:lineRule="auto"/>
    </w:pPr>
    <w:rPr>
      <w:rFonts w:ascii="仿宋_GB2312" w:hAnsi="Times New Roman" w:eastAsia="仿宋_GB2312" w:cs="Times New Roman"/>
      <w:sz w:val="30"/>
      <w:szCs w:val="30"/>
    </w:rPr>
  </w:style>
  <w:style w:type="character" w:styleId="972" w:customStyle="1">
    <w:name w:val="正文首行缩进 Char"/>
    <w:link w:val="971"/>
    <w:uiPriority w:val="0"/>
    <w:qFormat/>
    <w:rPr>
      <w:rFonts w:ascii="仿宋_GB2312" w:hAnsi="Times New Roman" w:eastAsia="仿宋_GB2312" w:cs="Times New Roman"/>
      <w:sz w:val="30"/>
      <w:szCs w:val="30"/>
    </w:rPr>
  </w:style>
  <w:style w:type="table" w:styleId="973" w:customStyle="1">
    <w:name w:val="网格型11"/>
    <w:basedOn w:val="914"/>
    <w:uiPriority w:val="0"/>
    <w:qFormat/>
    <w:pPr>
      <w:jc w:val="both"/>
      <w:widowControl w:val="off"/>
    </w:pPr>
    <w:rPr>
      <w:rFonts w:ascii="Times New Roman" w:hAnsi="Times New Roman" w:eastAsia="宋体" w:cs="Times New Roman"/>
      <w:sz w:val="20"/>
      <w:szCs w:val="20"/>
    </w:rPr>
    <w:tblPr/>
  </w:style>
  <w:style w:type="character" w:styleId="974" w:customStyle="1">
    <w:name w:val="要点1"/>
    <w:link w:val="718"/>
    <w:uiPriority w:val="0"/>
    <w:qFormat/>
    <w:rPr>
      <w:b/>
      <w:bCs/>
    </w:rPr>
  </w:style>
  <w:style w:type="character" w:styleId="975" w:customStyle="1">
    <w:name w:val="页码1"/>
    <w:link w:val="718"/>
    <w:uiPriority w:val="0"/>
    <w:qFormat/>
  </w:style>
  <w:style w:type="character" w:styleId="976" w:customStyle="1">
    <w:name w:val="已访问的超链接1"/>
    <w:link w:val="718"/>
    <w:uiPriority w:val="0"/>
    <w:qFormat/>
    <w:rPr>
      <w:color w:val="800080"/>
      <w:u w:val="single"/>
    </w:rPr>
  </w:style>
  <w:style w:type="character" w:styleId="977" w:customStyle="1">
    <w:name w:val="超链接1"/>
    <w:link w:val="718"/>
    <w:uiPriority w:val="0"/>
    <w:qFormat/>
    <w:rPr>
      <w:color w:val="0000ff"/>
      <w:u w:val="single"/>
    </w:rPr>
  </w:style>
  <w:style w:type="character" w:styleId="978" w:customStyle="1">
    <w:name w:val="批注引用1"/>
    <w:link w:val="718"/>
    <w:uiPriority w:val="0"/>
    <w:semiHidden/>
    <w:qFormat/>
    <w:rPr>
      <w:sz w:val="21"/>
      <w:szCs w:val="21"/>
    </w:rPr>
  </w:style>
  <w:style w:type="character" w:styleId="979" w:customStyle="1">
    <w:name w:val="font5 Char"/>
    <w:link w:val="718"/>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718"/>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18"/>
    <w:link w:val="982"/>
    <w:uiPriority w:val="0"/>
    <w:qFormat/>
    <w:pPr>
      <w:contextualSpacing/>
      <w:ind w:left="720"/>
      <w:jc w:val="left"/>
      <w:widowControl/>
    </w:pPr>
    <w:rPr>
      <w:rFonts w:ascii="Calibri" w:hAnsi="Calibri"/>
      <w:sz w:val="24"/>
      <w:szCs w:val="24"/>
      <w:lang w:eastAsia="en-US" w:bidi="en-US"/>
    </w:rPr>
  </w:style>
  <w:style w:type="paragraph" w:styleId="984" w:customStyle="1">
    <w:name w:val="Body Text(ch)"/>
    <w:basedOn w:val="718"/>
    <w:next w:val="933"/>
    <w:uiPriority w:val="0"/>
    <w:qFormat/>
    <w:pPr>
      <w:spacing w:after="120"/>
    </w:pPr>
    <w:rPr>
      <w:rFonts w:ascii="宋体" w:hAnsi="Arial" w:eastAsia="宋体" w:cs="Times New Roman"/>
      <w:bCs/>
      <w:iCs/>
      <w:szCs w:val="24"/>
    </w:rPr>
  </w:style>
  <w:style w:type="paragraph" w:styleId="985"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customStyle="1">
    <w:name w:val="Char"/>
    <w:basedOn w:val="718"/>
    <w:uiPriority w:val="0"/>
    <w:qFormat/>
    <w:pPr>
      <w:ind w:firstLine="200"/>
      <w:tabs>
        <w:tab w:val="left" w:pos="360" w:leader="none"/>
      </w:tabs>
    </w:pPr>
    <w:rPr>
      <w:rFonts w:ascii="Times New Roman" w:hAnsi="Times New Roman" w:eastAsia="宋体" w:cs="Times New Roman"/>
      <w:sz w:val="28"/>
      <w:szCs w:val="30"/>
    </w:rPr>
  </w:style>
  <w:style w:type="paragraph" w:styleId="988" w:customStyle="1">
    <w:name w:val=" Char"/>
    <w:basedOn w:val="927"/>
    <w:uiPriority w:val="0"/>
    <w:qFormat/>
    <w:rPr>
      <w:rFonts w:ascii="Tahoma" w:hAnsi="Tahoma"/>
      <w:sz w:val="24"/>
      <w:szCs w:val="24"/>
    </w:rPr>
  </w:style>
  <w:style w:type="paragraph" w:styleId="989" w:customStyle="1">
    <w:name w:val="普通正文"/>
    <w:basedOn w:val="718"/>
    <w:uiPriority w:val="0"/>
    <w:qFormat/>
    <w:pPr>
      <w:ind w:firstLine="480"/>
      <w:jc w:val="left"/>
      <w:spacing w:before="120" w:after="120" w:line="360" w:lineRule="auto"/>
    </w:pPr>
    <w:rPr>
      <w:rFonts w:ascii="Arial" w:hAnsi="Arial" w:eastAsia="宋体" w:cs="Times New Roman"/>
      <w:sz w:val="24"/>
      <w:szCs w:val="24"/>
    </w:rPr>
  </w:style>
  <w:style w:type="paragraph" w:styleId="990" w:customStyle="1">
    <w:name w:val="table_lines"/>
    <w:basedOn w:val="718"/>
    <w:uiPriority w:val="0"/>
    <w:qFormat/>
    <w:pPr>
      <w:jc w:val="left"/>
      <w:widowControl/>
    </w:pPr>
    <w:rPr>
      <w:rFonts w:ascii="Times New Roman" w:hAnsi="Times New Roman" w:eastAsia="宋体" w:cs="Times New Roman"/>
      <w:sz w:val="20"/>
      <w:szCs w:val="20"/>
      <w:lang w:val="de-DE" w:eastAsia="de-DE"/>
    </w:rPr>
  </w:style>
  <w:style w:type="paragraph" w:styleId="99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2" w:customStyle="1">
    <w:name w:val="font7"/>
    <w:basedOn w:val="7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3" w:customStyle="1">
    <w:name w:val=" Char Char Char Char"/>
    <w:basedOn w:val="927"/>
    <w:uiPriority w:val="0"/>
    <w:qFormat/>
    <w:pPr>
      <w:spacing w:line="360" w:lineRule="auto"/>
    </w:pPr>
    <w:rPr>
      <w:rFonts w:ascii="Tahoma" w:hAnsi="Tahoma"/>
      <w:sz w:val="24"/>
      <w:szCs w:val="24"/>
    </w:rPr>
  </w:style>
  <w:style w:type="paragraph" w:styleId="994" w:customStyle="1">
    <w:name w:val="列出段落"/>
    <w:basedOn w:val="718"/>
    <w:uiPriority w:val="0"/>
    <w:qFormat/>
    <w:pPr>
      <w:contextualSpacing/>
      <w:ind w:left="720"/>
      <w:jc w:val="left"/>
      <w:widowControl/>
    </w:pPr>
    <w:rPr>
      <w:rFonts w:ascii="Calibri" w:hAnsi="Calibri" w:eastAsia="宋体" w:cs="Times New Roman"/>
      <w:sz w:val="24"/>
      <w:szCs w:val="24"/>
      <w:lang w:eastAsia="en-US" w:bidi="en-US"/>
    </w:rPr>
  </w:style>
  <w:style w:type="paragraph" w:styleId="995" w:customStyle="1">
    <w:name w:val="4"/>
    <w:basedOn w:val="718"/>
    <w:next w:val="960"/>
    <w:uiPriority w:val="0"/>
    <w:qFormat/>
    <w:pPr>
      <w:ind w:firstLine="420"/>
      <w:spacing w:line="360" w:lineRule="auto"/>
    </w:pPr>
    <w:rPr>
      <w:rFonts w:ascii="Times New Roman" w:hAnsi="Times New Roman" w:eastAsia="宋体" w:cs="Times New Roman"/>
      <w:color w:val="ff0000"/>
      <w:sz w:val="24"/>
      <w:szCs w:val="24"/>
    </w:rPr>
  </w:style>
  <w:style w:type="paragraph" w:styleId="996" w:customStyle="1">
    <w:name w:val="普通 (Web)"/>
    <w:basedOn w:val="718"/>
    <w:uiPriority w:val="0"/>
    <w:qFormat/>
    <w:pPr>
      <w:jc w:val="left"/>
      <w:spacing w:before="100" w:beforeAutospacing="1" w:after="100" w:afterAutospacing="1"/>
      <w:widowControl/>
    </w:pPr>
    <w:rPr>
      <w:rFonts w:ascii="宋体" w:hAnsi="宋体" w:eastAsia="宋体" w:cs="Times New Roman"/>
      <w:sz w:val="24"/>
      <w:szCs w:val="24"/>
    </w:rPr>
  </w:style>
  <w:style w:type="paragraph" w:styleId="997" w:customStyle="1">
    <w:name w:val=" Char Char Char Char Char Char Char Char Char Char"/>
    <w:basedOn w:val="718"/>
    <w:uiPriority w:val="0"/>
    <w:qFormat/>
    <w:pPr>
      <w:spacing w:line="360" w:lineRule="auto"/>
    </w:pPr>
    <w:rPr>
      <w:rFonts w:ascii="Times New Roman" w:hAnsi="Times New Roman" w:eastAsia="宋体" w:cs="Times New Roman"/>
      <w:sz w:val="24"/>
      <w:szCs w:val="20"/>
    </w:rPr>
  </w:style>
  <w:style w:type="paragraph" w:styleId="998" w:customStyle="1">
    <w:name w:val="样式1"/>
    <w:basedOn w:val="718"/>
    <w:uiPriority w:val="0"/>
    <w:qFormat/>
    <w:pPr>
      <w:numPr>
        <w:ilvl w:val="0"/>
        <w:numId w:val="3"/>
      </w:numPr>
    </w:pPr>
    <w:rPr>
      <w:rFonts w:ascii="宋体" w:hAnsi="宋体" w:eastAsia="宋体" w:cs="Times New Roman"/>
      <w:szCs w:val="21"/>
    </w:rPr>
  </w:style>
  <w:style w:type="paragraph" w:styleId="999" w:customStyle="1">
    <w:name w:val="font6"/>
    <w:basedOn w:val="71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0"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customStyle="1">
    <w:name w:val="标题3"/>
    <w:basedOn w:val="718"/>
    <w:next w:val="718"/>
    <w:uiPriority w:val="0"/>
    <w:qFormat/>
    <w:pPr>
      <w:ind w:firstLine="624"/>
      <w:spacing w:line="590" w:lineRule="atLeast"/>
    </w:pPr>
    <w:rPr>
      <w:rFonts w:ascii="方正黑体_GBK" w:hAnsi="Times New Roman" w:eastAsia="方正黑体_GBK" w:cs="Times New Roman"/>
      <w:sz w:val="32"/>
      <w:szCs w:val="32"/>
    </w:rPr>
  </w:style>
  <w:style w:type="paragraph" w:styleId="1003"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5" w:customStyle="1">
    <w:name w:val="Char Char Char Char Char Char Char Char"/>
    <w:basedOn w:val="718"/>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7" w:customStyle="1">
    <w:name w:val=" Char Char Char Char Char Char Char Char"/>
    <w:basedOn w:val="718"/>
    <w:uiPriority w:val="0"/>
    <w:qFormat/>
    <w:pPr>
      <w:jc w:val="left"/>
      <w:spacing w:after="160" w:line="240" w:lineRule="exact"/>
      <w:widowControl/>
    </w:pPr>
    <w:rPr>
      <w:rFonts w:ascii="Verdana" w:hAnsi="Verdana" w:eastAsia="宋体" w:cs="Times New Roman"/>
      <w:sz w:val="20"/>
      <w:szCs w:val="20"/>
      <w:lang w:eastAsia="en-US"/>
    </w:rPr>
  </w:style>
  <w:style w:type="paragraph" w:styleId="1008" w:customStyle="1">
    <w:name w:val="xl30"/>
    <w:basedOn w:val="71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9" w:customStyle="1">
    <w:name w:val="Char Char Char Char"/>
    <w:basedOn w:val="927"/>
    <w:uiPriority w:val="0"/>
    <w:qFormat/>
    <w:pPr>
      <w:spacing w:line="360" w:lineRule="auto"/>
    </w:pPr>
    <w:rPr>
      <w:rFonts w:ascii="Tahoma" w:hAnsi="Tahoma"/>
      <w:sz w:val="24"/>
      <w:szCs w:val="24"/>
    </w:rPr>
  </w:style>
  <w:style w:type="paragraph" w:styleId="1010" w:customStyle="1">
    <w:name w:val="table_1stline"/>
    <w:basedOn w:val="71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1" w:customStyle="1">
    <w:name w:val="font5"/>
    <w:basedOn w:val="71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2" w:customStyle="1">
    <w:name w:val="标题1"/>
    <w:basedOn w:val="718"/>
    <w:next w:val="71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5" w:customStyle="1">
    <w:name w:val="Table Normal"/>
    <w:uiPriority w:val="0"/>
    <w:qFormat/>
    <w:tblPr/>
  </w:style>
  <w:style w:type="paragraph" w:styleId="1016" w:customStyle="1">
    <w:name w:val="正文文本 211"/>
    <w:basedOn w:val="718"/>
    <w:uiPriority w:val="99"/>
    <w:qFormat/>
    <w:pPr>
      <w:jc w:val="center"/>
    </w:pPr>
    <w:rPr>
      <w:b/>
      <w:bCs/>
      <w:sz w:val="20"/>
      <w:szCs w:val="20"/>
    </w:rPr>
  </w:style>
  <w:style w:type="paragraph" w:styleId="1017" w:customStyle="1">
    <w:name w:val="正文文本1"/>
    <w:basedOn w:val="718"/>
    <w:next w:val="718"/>
    <w:uiPriority w:val="0"/>
    <w:semiHidden/>
    <w:qFormat/>
    <w:rPr>
      <w:rFonts w:ascii="Arial" w:hAnsi="Arial" w:eastAsia="Arial" w:cs="Arial"/>
      <w:sz w:val="21"/>
      <w:szCs w:val="21"/>
      <w:lang w:val="en-US" w:eastAsia="en-US" w:bidi="ar-SA"/>
    </w:rPr>
  </w:style>
  <w:style w:type="paragraph" w:styleId="1018" w:customStyle="1">
    <w:name w:val="正文文本12"/>
    <w:basedOn w:val="718"/>
    <w:uiPriority w:val="1"/>
    <w:qFormat/>
    <w:pPr>
      <w:ind w:left="120"/>
    </w:pPr>
    <w:rPr>
      <w:rFonts w:ascii="宋体" w:hAnsi="宋体" w:eastAsia="宋体" w:cs="宋体"/>
      <w:sz w:val="21"/>
      <w:szCs w:val="21"/>
      <w:lang w:val="zh-CN" w:eastAsia="zh-CN" w:bidi="zh-CN"/>
    </w:rPr>
  </w:style>
  <w:style w:type="paragraph" w:styleId="1019" w:customStyle="1">
    <w:name w:val="Table Text"/>
    <w:basedOn w:val="718"/>
    <w:uiPriority w:val="0"/>
    <w:semiHidden/>
    <w:qFormat/>
    <w:rPr>
      <w:rFonts w:ascii="宋体" w:hAnsi="宋体" w:eastAsia="宋体" w:cs="宋体"/>
      <w:sz w:val="21"/>
      <w:szCs w:val="21"/>
      <w:lang w:val="en-US" w:eastAsia="en-US" w:bidi="ar-SA"/>
    </w:rPr>
  </w:style>
  <w:style w:type="table" w:styleId="1020" w:customStyle="1">
    <w:name w:val="网格型1"/>
    <w:basedOn w:val="1021"/>
    <w:uiPriority w:val="0"/>
    <w:qFormat/>
    <w:pPr>
      <w:jc w:val="both"/>
      <w:widowControl w:val="off"/>
    </w:pPr>
    <w:rPr>
      <w:rFonts w:ascii="Times New Roman" w:hAnsi="Times New Roman" w:eastAsia="宋体" w:cs="Times New Roman"/>
      <w:sz w:val="20"/>
      <w:szCs w:val="20"/>
    </w:rPr>
    <w:tblPr/>
  </w:style>
  <w:style w:type="table" w:styleId="1021" w:customStyle="1">
    <w:name w:val="普通表格1"/>
    <w:uiPriority w:val="99"/>
    <w:unhideWhenUsed/>
    <w:qFormat/>
    <w:tblPr/>
  </w:style>
  <w:style w:type="character" w:styleId="1022" w:customStyle="1">
    <w:name w:val="font31"/>
    <w:basedOn w:val="913"/>
    <w:link w:val="718"/>
    <w:uiPriority w:val="0"/>
    <w:qFormat/>
    <w:rPr>
      <w:rFonts w:hint="eastAsia" w:ascii="宋体" w:hAnsi="宋体" w:eastAsia="宋体" w:cs="宋体"/>
      <w:b/>
      <w:bCs/>
      <w:color w:val="000000"/>
      <w:sz w:val="21"/>
      <w:szCs w:val="21"/>
      <w:u w:val="none"/>
    </w:rPr>
  </w:style>
  <w:style w:type="character" w:styleId="1023" w:customStyle="1">
    <w:name w:val="font21"/>
    <w:basedOn w:val="913"/>
    <w:link w:val="718"/>
    <w:uiPriority w:val="0"/>
    <w:qFormat/>
    <w:rPr>
      <w:rFonts w:hint="eastAsia" w:ascii="宋体" w:hAnsi="宋体" w:eastAsia="宋体" w:cs="宋体"/>
      <w:b/>
      <w:bCs/>
      <w:color w:val="000000"/>
      <w:sz w:val="21"/>
      <w:szCs w:val="21"/>
      <w:u w:val="single"/>
    </w:rPr>
  </w:style>
  <w:style w:type="paragraph" w:styleId="1024" w:customStyle="1">
    <w:name w:val="Table Paragraph"/>
    <w:basedOn w:val="718"/>
    <w:uiPriority w:val="1"/>
    <w:qFormat/>
  </w:style>
  <w:style w:type="table" w:styleId="1025" w:customStyle="1">
    <w:name w:val="Table Normal_0"/>
    <w:uiPriority w:val="0"/>
    <w:qFormat/>
    <w:tblPr/>
  </w:style>
  <w:style w:type="paragraph" w:styleId="1026" w:customStyle="1">
    <w:name w:val="纯文本1"/>
    <w:basedOn w:val="718"/>
    <w:uiPriority w:val="0"/>
    <w:qFormat/>
    <w:rPr>
      <w:rFonts w:ascii="宋体" w:hAnsi="Courier New"/>
      <w:sz w:val="20"/>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张雷</cp:lastModifiedBy>
  <cp:revision>5</cp:revision>
  <dcterms:created xsi:type="dcterms:W3CDTF">2023-03-27T07:28:00Z</dcterms:created>
  <dcterms:modified xsi:type="dcterms:W3CDTF">2026-01-05T08:41:05Z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9163828D435B4A4FB002A8F78EC0CC35_13</vt:lpwstr>
  </property>
  <property fmtid="{D5CDD505-2E9C-101B-9397-08002B2CF9AE}" pid="4" name="KSOTemplateDocerSaveRecord">
    <vt:lpwstr>eyJoZGlkIjoiNjM0NTEyMmFmYmU1MzYyMDRmY2QzOWE4ZTBkZjhkMmQiLCJ1c2VySWQiOiI0NDU4NjI1MjYifQ==</vt:lpwstr>
  </property>
</Properties>
</file>